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D3EC" w14:textId="2541B965" w:rsidR="00A91F14" w:rsidRPr="00267339" w:rsidRDefault="00A91F14" w:rsidP="00A91F14">
      <w:pPr>
        <w:rPr>
          <w:rFonts w:ascii="Century" w:hAnsi="Century" w:cs="Arial"/>
          <w:i/>
          <w:iCs/>
          <w:lang w:val="es-PR"/>
        </w:rPr>
      </w:pPr>
      <w:r w:rsidRPr="00267339">
        <w:rPr>
          <w:rFonts w:ascii="Century" w:hAnsi="Century" w:cs="Arial"/>
          <w:i/>
          <w:iCs/>
          <w:highlight w:val="yellow"/>
          <w:lang w:val="es-PR"/>
        </w:rPr>
        <w:t>[FECHA]</w:t>
      </w:r>
      <w:r w:rsidRPr="00267339">
        <w:rPr>
          <w:rFonts w:ascii="Century" w:hAnsi="Century" w:cs="Arial"/>
          <w:i/>
          <w:iCs/>
          <w:lang w:val="es-PR"/>
        </w:rPr>
        <w:t xml:space="preserve"> </w:t>
      </w:r>
    </w:p>
    <w:p w14:paraId="4C0B26E1" w14:textId="77777777" w:rsidR="00A91F14" w:rsidRPr="00267339" w:rsidRDefault="00A91F14" w:rsidP="00A91F14">
      <w:pPr>
        <w:spacing w:after="0"/>
        <w:rPr>
          <w:rFonts w:ascii="Century" w:hAnsi="Century" w:cs="Arial"/>
          <w:lang w:val="es-ES"/>
        </w:rPr>
      </w:pPr>
      <w:r w:rsidRPr="00267339">
        <w:rPr>
          <w:rFonts w:ascii="Century" w:hAnsi="Century" w:cs="Arial"/>
          <w:lang w:val="es-ES"/>
        </w:rPr>
        <w:t>Edison Avilés Deliz</w:t>
      </w:r>
    </w:p>
    <w:p w14:paraId="5A20B1A5" w14:textId="5F654B6B" w:rsidR="00A91F14" w:rsidRPr="00267339" w:rsidRDefault="00A91F14" w:rsidP="00A91F14">
      <w:pPr>
        <w:spacing w:after="0"/>
        <w:rPr>
          <w:rFonts w:ascii="Century" w:hAnsi="Century" w:cs="Arial"/>
          <w:lang w:val="es-ES"/>
        </w:rPr>
      </w:pPr>
      <w:r w:rsidRPr="00267339">
        <w:rPr>
          <w:rFonts w:ascii="Century" w:hAnsi="Century" w:cs="Arial"/>
          <w:lang w:val="es-ES"/>
        </w:rPr>
        <w:t>Presidente</w:t>
      </w:r>
    </w:p>
    <w:p w14:paraId="28158ED3" w14:textId="2071DE71" w:rsidR="00A91F14" w:rsidRPr="00267339" w:rsidRDefault="00A91F14" w:rsidP="00A91F14">
      <w:pPr>
        <w:spacing w:after="0"/>
        <w:rPr>
          <w:rFonts w:ascii="Century" w:hAnsi="Century" w:cs="Arial"/>
          <w:lang w:val="es-ES"/>
        </w:rPr>
      </w:pPr>
      <w:r w:rsidRPr="00267339">
        <w:rPr>
          <w:rFonts w:ascii="Century" w:hAnsi="Century" w:cs="Arial"/>
          <w:lang w:val="es-ES"/>
        </w:rPr>
        <w:t>Negociado de Energía de Puerto Rico</w:t>
      </w:r>
    </w:p>
    <w:p w14:paraId="54918357" w14:textId="77777777" w:rsidR="00A91F14" w:rsidRPr="00267339" w:rsidRDefault="00A91F14" w:rsidP="00A91F14">
      <w:pPr>
        <w:spacing w:after="0"/>
        <w:rPr>
          <w:rFonts w:ascii="Century" w:hAnsi="Century" w:cs="Arial"/>
          <w:lang w:val="es-ES"/>
        </w:rPr>
      </w:pPr>
      <w:r w:rsidRPr="00267339">
        <w:rPr>
          <w:rFonts w:ascii="Century" w:hAnsi="Century" w:cs="Arial"/>
          <w:lang w:val="es-ES"/>
        </w:rPr>
        <w:t>Edificio World Plaza</w:t>
      </w:r>
    </w:p>
    <w:p w14:paraId="21F0EB4B" w14:textId="77777777" w:rsidR="00A91F14" w:rsidRPr="00267339" w:rsidRDefault="00A91F14" w:rsidP="00A91F14">
      <w:pPr>
        <w:spacing w:after="0"/>
        <w:rPr>
          <w:rFonts w:ascii="Century" w:hAnsi="Century" w:cs="Arial"/>
          <w:lang w:val="es-ES"/>
        </w:rPr>
      </w:pPr>
      <w:r w:rsidRPr="00267339">
        <w:rPr>
          <w:rFonts w:ascii="Century" w:hAnsi="Century" w:cs="Arial"/>
          <w:lang w:val="es-ES"/>
        </w:rPr>
        <w:t>268 Avenida Muñoz Rivera, Nivel Plaza, Suite 202</w:t>
      </w:r>
    </w:p>
    <w:p w14:paraId="3039ED3B" w14:textId="327F6DFE" w:rsidR="00A91F14" w:rsidRDefault="00A91F14" w:rsidP="00A91F14">
      <w:pPr>
        <w:spacing w:after="0"/>
        <w:rPr>
          <w:rFonts w:ascii="Century" w:hAnsi="Century" w:cs="Arial"/>
          <w:lang w:val="es-ES"/>
        </w:rPr>
      </w:pPr>
      <w:r w:rsidRPr="00267339">
        <w:rPr>
          <w:rFonts w:ascii="Century" w:hAnsi="Century" w:cs="Arial"/>
          <w:lang w:val="es-ES"/>
        </w:rPr>
        <w:t xml:space="preserve">San Juan, PR 00918 </w:t>
      </w:r>
    </w:p>
    <w:p w14:paraId="072F2E66" w14:textId="33A891CD" w:rsidR="001A76D6" w:rsidRPr="00267339" w:rsidRDefault="005063A5" w:rsidP="00A91F14">
      <w:pPr>
        <w:spacing w:after="0"/>
        <w:rPr>
          <w:rFonts w:ascii="Century" w:hAnsi="Century" w:cs="Arial"/>
          <w:lang w:val="es-ES"/>
        </w:rPr>
      </w:pPr>
      <w:r>
        <w:fldChar w:fldCharType="begin"/>
      </w:r>
      <w:r w:rsidRPr="00133399">
        <w:rPr>
          <w:lang w:val="es-PR"/>
          <w:rPrChange w:id="0" w:author="Lorena Velez" w:date="2026-01-21T10:16:00Z" w16du:dateUtc="2026-01-21T14:16:00Z">
            <w:rPr/>
          </w:rPrChange>
        </w:rPr>
        <w:instrText>HYPERLINK "mailto:comentarios@jrsp.pr.gov"</w:instrText>
      </w:r>
      <w:r>
        <w:fldChar w:fldCharType="separate"/>
      </w:r>
      <w:r w:rsidRPr="00D373B6">
        <w:rPr>
          <w:rStyle w:val="Hyperlink"/>
          <w:rFonts w:ascii="Century" w:hAnsi="Century" w:cs="Arial"/>
          <w:lang w:val="es-ES"/>
        </w:rPr>
        <w:t>comentarios@jrsp.pr.gov</w:t>
      </w:r>
      <w:r>
        <w:fldChar w:fldCharType="end"/>
      </w:r>
    </w:p>
    <w:p w14:paraId="7CDC0034" w14:textId="77777777" w:rsidR="00A91F14" w:rsidRPr="00267339" w:rsidRDefault="00A91F14" w:rsidP="00A91F14">
      <w:pPr>
        <w:spacing w:after="0"/>
        <w:rPr>
          <w:rFonts w:ascii="Century" w:hAnsi="Century" w:cs="Arial"/>
          <w:lang w:val="es-ES"/>
        </w:rPr>
      </w:pPr>
    </w:p>
    <w:p w14:paraId="076DB6D9" w14:textId="3205115F" w:rsidR="00A91F14" w:rsidRPr="00267339" w:rsidRDefault="00A91F14" w:rsidP="00A91F14">
      <w:pPr>
        <w:spacing w:after="0"/>
        <w:rPr>
          <w:rFonts w:ascii="Century" w:hAnsi="Century" w:cs="Arial"/>
          <w:b/>
          <w:bCs/>
          <w:lang w:val="es-ES"/>
        </w:rPr>
      </w:pPr>
      <w:r w:rsidRPr="00267339">
        <w:rPr>
          <w:rFonts w:ascii="Century" w:hAnsi="Century" w:cs="Arial"/>
          <w:b/>
          <w:bCs/>
          <w:lang w:val="es-ES"/>
        </w:rPr>
        <w:t xml:space="preserve">Asunto: Comentarios Públicos sobre </w:t>
      </w:r>
      <w:r w:rsidR="00B33C72">
        <w:rPr>
          <w:rFonts w:ascii="Century" w:hAnsi="Century" w:cs="Arial"/>
          <w:b/>
          <w:bCs/>
          <w:lang w:val="es-ES"/>
        </w:rPr>
        <w:t>la Revisión</w:t>
      </w:r>
      <w:r w:rsidRPr="00267339">
        <w:rPr>
          <w:rFonts w:ascii="Century" w:hAnsi="Century" w:cs="Arial"/>
          <w:b/>
          <w:bCs/>
          <w:lang w:val="es-ES"/>
        </w:rPr>
        <w:t xml:space="preserve"> Tarifari</w:t>
      </w:r>
      <w:r w:rsidR="00B33C72">
        <w:rPr>
          <w:rFonts w:ascii="Century" w:hAnsi="Century" w:cs="Arial"/>
          <w:b/>
          <w:bCs/>
          <w:lang w:val="es-ES"/>
        </w:rPr>
        <w:t>a</w:t>
      </w:r>
      <w:r w:rsidRPr="00267339">
        <w:rPr>
          <w:rFonts w:ascii="Century" w:hAnsi="Century" w:cs="Arial"/>
          <w:b/>
          <w:bCs/>
          <w:lang w:val="es-ES"/>
        </w:rPr>
        <w:t xml:space="preserve"> de la Autoridad – </w:t>
      </w:r>
    </w:p>
    <w:p w14:paraId="63E703AC" w14:textId="12ACBA24" w:rsidR="00A91F14" w:rsidRPr="00267339" w:rsidRDefault="00A91F14" w:rsidP="00A91F14">
      <w:pPr>
        <w:spacing w:after="0"/>
        <w:rPr>
          <w:rFonts w:ascii="Century" w:hAnsi="Century" w:cs="Arial"/>
          <w:b/>
          <w:bCs/>
          <w:lang w:val="es-ES"/>
        </w:rPr>
      </w:pPr>
      <w:r w:rsidRPr="00267339">
        <w:rPr>
          <w:rFonts w:ascii="Century" w:hAnsi="Century" w:cs="Arial"/>
          <w:b/>
          <w:bCs/>
          <w:lang w:val="es-ES"/>
        </w:rPr>
        <w:t xml:space="preserve">Caso Núm.: NEPR-AP-2023-0003 </w:t>
      </w:r>
    </w:p>
    <w:p w14:paraId="72FA001F" w14:textId="003B0FC7" w:rsidR="00A91F14" w:rsidRPr="00267339" w:rsidRDefault="00A91F14" w:rsidP="00267339">
      <w:pPr>
        <w:spacing w:before="240"/>
        <w:jc w:val="both"/>
        <w:rPr>
          <w:rFonts w:ascii="Century" w:hAnsi="Century" w:cs="Arial"/>
          <w:lang w:val="es-ES"/>
        </w:rPr>
      </w:pPr>
      <w:r w:rsidRPr="00267339">
        <w:rPr>
          <w:rFonts w:ascii="Century" w:hAnsi="Century" w:cs="Arial"/>
          <w:lang w:val="es-ES"/>
        </w:rPr>
        <w:t xml:space="preserve">Estimado Edison Avilés Deliz, </w:t>
      </w:r>
    </w:p>
    <w:p w14:paraId="68C8F1AC" w14:textId="18B7B5CC" w:rsidR="00C54319" w:rsidRPr="00133399" w:rsidRDefault="009721B5" w:rsidP="00C54319">
      <w:pPr>
        <w:spacing w:before="240"/>
        <w:ind w:firstLine="720"/>
        <w:jc w:val="both"/>
        <w:rPr>
          <w:rFonts w:ascii="Century" w:hAnsi="Century" w:cs="Arial"/>
          <w:lang w:val="es-PR"/>
        </w:rPr>
      </w:pPr>
      <w:r w:rsidRPr="00267339">
        <w:rPr>
          <w:rFonts w:ascii="Century" w:hAnsi="Century" w:cs="Arial"/>
          <w:lang w:val="es-ES"/>
        </w:rPr>
        <w:t xml:space="preserve">Reciba un cordial saludo </w:t>
      </w:r>
      <w:r w:rsidR="00B10537" w:rsidRPr="00267339">
        <w:rPr>
          <w:rFonts w:ascii="Century" w:hAnsi="Century" w:cs="Arial"/>
          <w:lang w:val="es-ES"/>
        </w:rPr>
        <w:t>por parte de [</w:t>
      </w:r>
      <w:r w:rsidR="00B10537" w:rsidRPr="00267339">
        <w:rPr>
          <w:rFonts w:ascii="Century" w:hAnsi="Century" w:cs="Arial"/>
          <w:u w:val="single"/>
          <w:lang w:val="es-ES"/>
        </w:rPr>
        <w:t xml:space="preserve">los grupos abajo firmantes / </w:t>
      </w:r>
      <w:r w:rsidR="0051001A" w:rsidRPr="00267339">
        <w:rPr>
          <w:rFonts w:ascii="Century" w:hAnsi="Century" w:cs="Arial"/>
          <w:u w:val="single"/>
          <w:lang w:val="es-ES"/>
        </w:rPr>
        <w:t>grupo/</w:t>
      </w:r>
      <w:r w:rsidR="00B36E48" w:rsidRPr="00267339">
        <w:rPr>
          <w:rFonts w:ascii="Century" w:hAnsi="Century" w:cs="Arial"/>
          <w:u w:val="single"/>
          <w:lang w:val="es-ES"/>
        </w:rPr>
        <w:t>o</w:t>
      </w:r>
      <w:r w:rsidR="00B10537" w:rsidRPr="00267339">
        <w:rPr>
          <w:rFonts w:ascii="Century" w:hAnsi="Century" w:cs="Arial"/>
          <w:u w:val="single"/>
          <w:lang w:val="es-ES"/>
        </w:rPr>
        <w:t>rganización firma</w:t>
      </w:r>
      <w:r w:rsidR="00A07D24" w:rsidRPr="00267339">
        <w:rPr>
          <w:rFonts w:ascii="Century" w:hAnsi="Century" w:cs="Arial"/>
          <w:u w:val="single"/>
          <w:lang w:val="es-ES"/>
        </w:rPr>
        <w:t xml:space="preserve">nte / </w:t>
      </w:r>
      <w:r w:rsidR="0051001A" w:rsidRPr="00267339">
        <w:rPr>
          <w:rFonts w:ascii="Century" w:hAnsi="Century" w:cs="Arial"/>
          <w:u w:val="single"/>
          <w:lang w:val="es-ES"/>
        </w:rPr>
        <w:t>i</w:t>
      </w:r>
      <w:r w:rsidR="00A07D24" w:rsidRPr="00267339">
        <w:rPr>
          <w:rFonts w:ascii="Century" w:hAnsi="Century" w:cs="Arial"/>
          <w:u w:val="single"/>
          <w:lang w:val="es-ES"/>
        </w:rPr>
        <w:t>ndividuo firmante]</w:t>
      </w:r>
      <w:r w:rsidR="00A07D24" w:rsidRPr="001F606D">
        <w:rPr>
          <w:rFonts w:ascii="Century" w:hAnsi="Century" w:cs="Arial"/>
          <w:lang w:val="es-ES"/>
        </w:rPr>
        <w:t xml:space="preserve"> </w:t>
      </w:r>
      <w:r w:rsidR="00A07D24" w:rsidRPr="001F606D">
        <w:rPr>
          <w:rFonts w:ascii="Century" w:hAnsi="Century" w:cs="Arial"/>
          <w:highlight w:val="yellow"/>
          <w:lang w:val="es-ES"/>
        </w:rPr>
        <w:t>quien</w:t>
      </w:r>
      <w:r w:rsidR="00F87BDB" w:rsidRPr="001F606D">
        <w:rPr>
          <w:rFonts w:ascii="Century" w:hAnsi="Century" w:cs="Arial"/>
          <w:highlight w:val="yellow"/>
          <w:lang w:val="es-ES"/>
        </w:rPr>
        <w:t xml:space="preserve"> </w:t>
      </w:r>
      <w:r w:rsidR="00A07D24" w:rsidRPr="001F606D">
        <w:rPr>
          <w:rFonts w:ascii="Century" w:hAnsi="Century" w:cs="Arial"/>
          <w:highlight w:val="yellow"/>
          <w:lang w:val="es-ES"/>
        </w:rPr>
        <w:t>[es] somete</w:t>
      </w:r>
      <w:r w:rsidR="00F87BDB" w:rsidRPr="001F606D">
        <w:rPr>
          <w:rFonts w:ascii="Century" w:hAnsi="Century" w:cs="Arial"/>
          <w:highlight w:val="yellow"/>
          <w:lang w:val="es-ES"/>
        </w:rPr>
        <w:t xml:space="preserve"> </w:t>
      </w:r>
      <w:r w:rsidR="00A07D24" w:rsidRPr="001F606D">
        <w:rPr>
          <w:rFonts w:ascii="Century" w:hAnsi="Century" w:cs="Arial"/>
          <w:highlight w:val="yellow"/>
          <w:lang w:val="es-ES"/>
        </w:rPr>
        <w:t>[n]</w:t>
      </w:r>
      <w:r w:rsidR="00A07D24" w:rsidRPr="00267339">
        <w:rPr>
          <w:rFonts w:ascii="Century" w:hAnsi="Century" w:cs="Arial"/>
          <w:lang w:val="es-ES"/>
        </w:rPr>
        <w:t xml:space="preserve"> estos comentarios en respuesta a la solicitud</w:t>
      </w:r>
      <w:r w:rsidR="00705173" w:rsidRPr="00267339">
        <w:rPr>
          <w:rFonts w:ascii="Century" w:hAnsi="Century" w:cs="Arial"/>
          <w:lang w:val="es-ES"/>
        </w:rPr>
        <w:t xml:space="preserve"> </w:t>
      </w:r>
      <w:r w:rsidR="00D363D7" w:rsidRPr="00267339">
        <w:rPr>
          <w:rFonts w:ascii="Century" w:hAnsi="Century" w:cs="Arial"/>
          <w:lang w:val="es-ES"/>
        </w:rPr>
        <w:t>de</w:t>
      </w:r>
      <w:r w:rsidR="009D1539" w:rsidRPr="00267339">
        <w:rPr>
          <w:rFonts w:ascii="Century" w:hAnsi="Century" w:cs="Arial"/>
          <w:lang w:val="es-ES"/>
        </w:rPr>
        <w:t xml:space="preserve"> LUMA Energy, LLC y LUMA Energy ServCo, LLC (“LUMA”) que</w:t>
      </w:r>
      <w:r w:rsidR="00D363D7" w:rsidRPr="00267339">
        <w:rPr>
          <w:rFonts w:ascii="Century" w:hAnsi="Century" w:cs="Arial"/>
          <w:lang w:val="es-ES"/>
        </w:rPr>
        <w:t xml:space="preserve"> propon</w:t>
      </w:r>
      <w:r w:rsidR="009D1539" w:rsidRPr="00267339">
        <w:rPr>
          <w:rFonts w:ascii="Century" w:hAnsi="Century" w:cs="Arial"/>
          <w:lang w:val="es-ES"/>
        </w:rPr>
        <w:t>e</w:t>
      </w:r>
      <w:r w:rsidR="00D363D7" w:rsidRPr="00267339">
        <w:rPr>
          <w:rFonts w:ascii="Century" w:hAnsi="Century" w:cs="Arial"/>
          <w:lang w:val="es-ES"/>
        </w:rPr>
        <w:t xml:space="preserve"> nuevas tarifas para el servicio eléctrico</w:t>
      </w:r>
      <w:r w:rsidR="009D1539" w:rsidRPr="00267339">
        <w:rPr>
          <w:rFonts w:ascii="Century" w:hAnsi="Century" w:cs="Arial"/>
          <w:lang w:val="es-ES"/>
        </w:rPr>
        <w:t xml:space="preserve"> en Puerto Rico</w:t>
      </w:r>
      <w:r w:rsidR="00043ABD" w:rsidRPr="00267339">
        <w:rPr>
          <w:rFonts w:ascii="Century" w:hAnsi="Century" w:cs="Arial"/>
          <w:lang w:val="es-ES"/>
        </w:rPr>
        <w:t xml:space="preserve"> (Caso. Núm. NEPR-AP-2023-0003). </w:t>
      </w:r>
    </w:p>
    <w:p w14:paraId="55B6549E" w14:textId="6757D18E" w:rsidR="00AE3AE5" w:rsidRPr="00267339" w:rsidRDefault="00267339" w:rsidP="00C54319">
      <w:pPr>
        <w:spacing w:before="240"/>
        <w:ind w:firstLine="720"/>
        <w:jc w:val="both"/>
        <w:rPr>
          <w:rFonts w:ascii="Century" w:hAnsi="Century" w:cs="Arial"/>
          <w:lang w:val="es-ES"/>
        </w:rPr>
      </w:pPr>
      <w:r w:rsidRPr="00267339">
        <w:rPr>
          <w:rFonts w:ascii="Century" w:hAnsi="Century" w:cs="Arial"/>
          <w:lang w:val="es-ES"/>
        </w:rPr>
        <w:t xml:space="preserve">La propuesta tarifaria presentada por LUMA </w:t>
      </w:r>
      <w:r w:rsidR="00AE3AE5" w:rsidRPr="00267339">
        <w:rPr>
          <w:rFonts w:ascii="Century" w:hAnsi="Century" w:cs="Arial"/>
          <w:lang w:val="es-ES"/>
        </w:rPr>
        <w:t>debe ser rechazado por</w:t>
      </w:r>
      <w:r w:rsidR="00EE7BE9">
        <w:rPr>
          <w:rFonts w:ascii="Century" w:hAnsi="Century" w:cs="Arial"/>
          <w:lang w:val="es-ES"/>
        </w:rPr>
        <w:t xml:space="preserve"> numerosas razones</w:t>
      </w:r>
      <w:r w:rsidR="00DE6E9C">
        <w:rPr>
          <w:rFonts w:ascii="Century" w:hAnsi="Century" w:cs="Arial"/>
          <w:lang w:val="es-ES"/>
        </w:rPr>
        <w:t xml:space="preserve"> que </w:t>
      </w:r>
      <w:r w:rsidR="00F7234F" w:rsidRPr="001F606D">
        <w:rPr>
          <w:rFonts w:ascii="Century" w:hAnsi="Century" w:cs="Arial"/>
          <w:highlight w:val="yellow"/>
          <w:lang w:val="es-ES"/>
        </w:rPr>
        <w:t>me</w:t>
      </w:r>
      <w:r w:rsidR="00F87BDB" w:rsidRPr="001F606D">
        <w:rPr>
          <w:rFonts w:ascii="Century" w:hAnsi="Century" w:cs="Arial"/>
          <w:highlight w:val="yellow"/>
          <w:lang w:val="es-ES"/>
        </w:rPr>
        <w:t xml:space="preserve"> </w:t>
      </w:r>
      <w:r w:rsidR="00262C92" w:rsidRPr="001F606D">
        <w:rPr>
          <w:rFonts w:ascii="Century" w:hAnsi="Century" w:cs="Arial"/>
          <w:highlight w:val="yellow"/>
          <w:lang w:val="es-ES"/>
        </w:rPr>
        <w:t>[nos]</w:t>
      </w:r>
      <w:r w:rsidR="00F7234F" w:rsidRPr="001F606D">
        <w:rPr>
          <w:rFonts w:ascii="Century" w:hAnsi="Century" w:cs="Arial"/>
          <w:highlight w:val="yellow"/>
          <w:lang w:val="es-ES"/>
        </w:rPr>
        <w:t xml:space="preserve"> </w:t>
      </w:r>
      <w:r w:rsidR="00DE6E9C" w:rsidRPr="001F606D">
        <w:rPr>
          <w:rFonts w:ascii="Century" w:hAnsi="Century" w:cs="Arial"/>
          <w:highlight w:val="yellow"/>
          <w:lang w:val="es-ES"/>
        </w:rPr>
        <w:t>afecta</w:t>
      </w:r>
      <w:r w:rsidR="00262C92" w:rsidRPr="001F606D">
        <w:rPr>
          <w:rFonts w:ascii="Century" w:hAnsi="Century" w:cs="Arial"/>
          <w:highlight w:val="yellow"/>
          <w:lang w:val="es-ES"/>
        </w:rPr>
        <w:t>[</w:t>
      </w:r>
      <w:r w:rsidR="00DE6E9C" w:rsidRPr="001F606D">
        <w:rPr>
          <w:rFonts w:ascii="Century" w:hAnsi="Century" w:cs="Arial"/>
          <w:highlight w:val="yellow"/>
          <w:lang w:val="es-ES"/>
        </w:rPr>
        <w:t>n</w:t>
      </w:r>
      <w:r w:rsidR="00262C92" w:rsidRPr="001F606D">
        <w:rPr>
          <w:rFonts w:ascii="Century" w:hAnsi="Century" w:cs="Arial"/>
          <w:highlight w:val="yellow"/>
          <w:lang w:val="es-ES"/>
        </w:rPr>
        <w:t>]</w:t>
      </w:r>
      <w:r w:rsidR="00DE6E9C">
        <w:rPr>
          <w:rFonts w:ascii="Century" w:hAnsi="Century" w:cs="Arial"/>
          <w:lang w:val="es-ES"/>
        </w:rPr>
        <w:t xml:space="preserve"> directamente </w:t>
      </w:r>
      <w:r w:rsidR="00E959DE">
        <w:rPr>
          <w:rFonts w:ascii="Century" w:hAnsi="Century" w:cs="Arial"/>
          <w:lang w:val="es-ES"/>
        </w:rPr>
        <w:t xml:space="preserve">como </w:t>
      </w:r>
      <w:r w:rsidR="00E959DE" w:rsidRPr="001F606D">
        <w:rPr>
          <w:rFonts w:ascii="Century" w:hAnsi="Century" w:cs="Arial"/>
          <w:highlight w:val="yellow"/>
          <w:lang w:val="es-ES"/>
        </w:rPr>
        <w:t>consumidor</w:t>
      </w:r>
      <w:r w:rsidR="00F87BDB" w:rsidRPr="001F606D">
        <w:rPr>
          <w:rFonts w:ascii="Century" w:hAnsi="Century" w:cs="Arial"/>
          <w:highlight w:val="yellow"/>
          <w:lang w:val="es-ES"/>
        </w:rPr>
        <w:t xml:space="preserve"> </w:t>
      </w:r>
      <w:r w:rsidR="00262C92" w:rsidRPr="001F606D">
        <w:rPr>
          <w:rFonts w:ascii="Century" w:hAnsi="Century" w:cs="Arial"/>
          <w:highlight w:val="yellow"/>
          <w:lang w:val="es-ES"/>
        </w:rPr>
        <w:t>[</w:t>
      </w:r>
      <w:r w:rsidR="00E959DE" w:rsidRPr="001F606D">
        <w:rPr>
          <w:rFonts w:ascii="Century" w:hAnsi="Century" w:cs="Arial"/>
          <w:highlight w:val="yellow"/>
          <w:lang w:val="es-ES"/>
        </w:rPr>
        <w:t>a</w:t>
      </w:r>
      <w:r w:rsidR="001141D2" w:rsidRPr="001F606D">
        <w:rPr>
          <w:rFonts w:ascii="Century" w:hAnsi="Century" w:cs="Arial"/>
          <w:highlight w:val="yellow"/>
          <w:lang w:val="es-ES"/>
        </w:rPr>
        <w:t>][es]</w:t>
      </w:r>
      <w:r w:rsidR="00345879">
        <w:rPr>
          <w:rFonts w:ascii="Century" w:hAnsi="Century" w:cs="Arial"/>
          <w:lang w:val="es-ES"/>
        </w:rPr>
        <w:t>.</w:t>
      </w:r>
      <w:r w:rsidR="00DE6E9C">
        <w:rPr>
          <w:rFonts w:ascii="Century" w:hAnsi="Century" w:cs="Arial"/>
          <w:lang w:val="es-ES"/>
        </w:rPr>
        <w:t xml:space="preserve"> </w:t>
      </w:r>
    </w:p>
    <w:p w14:paraId="7AEABD3F" w14:textId="01B23CDF" w:rsidR="00AE3AE5" w:rsidRDefault="00EE7BE9" w:rsidP="00C54319">
      <w:pPr>
        <w:spacing w:before="240"/>
        <w:ind w:firstLine="720"/>
        <w:jc w:val="both"/>
        <w:rPr>
          <w:rFonts w:ascii="Century" w:hAnsi="Century" w:cs="Arial"/>
          <w:lang w:val="es-ES"/>
        </w:rPr>
      </w:pPr>
      <w:r>
        <w:rPr>
          <w:rFonts w:ascii="Century" w:hAnsi="Century" w:cs="Arial"/>
          <w:lang w:val="es-ES"/>
        </w:rPr>
        <w:t>En primer lugar, l</w:t>
      </w:r>
      <w:r w:rsidR="00AE3AE5" w:rsidRPr="00267339">
        <w:rPr>
          <w:rFonts w:ascii="Century" w:hAnsi="Century" w:cs="Arial"/>
          <w:lang w:val="es-ES"/>
        </w:rPr>
        <w:t xml:space="preserve">a Ley </w:t>
      </w:r>
      <w:r w:rsidR="00267339" w:rsidRPr="00267339">
        <w:rPr>
          <w:rFonts w:ascii="Century" w:hAnsi="Century" w:cs="Arial"/>
          <w:lang w:val="es-ES"/>
        </w:rPr>
        <w:t xml:space="preserve">57-2014, también conocida como la Ley de Transformación y Alivio Energético </w:t>
      </w:r>
      <w:r w:rsidR="00DE6E9C">
        <w:rPr>
          <w:rFonts w:ascii="Century" w:hAnsi="Century" w:cs="Arial"/>
          <w:lang w:val="es-ES"/>
        </w:rPr>
        <w:t>otorga</w:t>
      </w:r>
      <w:r w:rsidR="00267339" w:rsidRPr="00267339">
        <w:rPr>
          <w:rFonts w:ascii="Century" w:hAnsi="Century" w:cs="Arial"/>
          <w:lang w:val="es-ES"/>
        </w:rPr>
        <w:t xml:space="preserve"> al Negociado de Energía de Puerto Rico (“</w:t>
      </w:r>
      <w:r w:rsidR="005C61BA">
        <w:rPr>
          <w:rFonts w:ascii="Century" w:hAnsi="Century" w:cs="Arial"/>
          <w:lang w:val="es-ES"/>
        </w:rPr>
        <w:t>Negociado</w:t>
      </w:r>
      <w:r w:rsidR="00267339" w:rsidRPr="00267339">
        <w:rPr>
          <w:rFonts w:ascii="Century" w:hAnsi="Century" w:cs="Arial"/>
          <w:lang w:val="es-ES"/>
        </w:rPr>
        <w:t>”) la autoridad para revisar</w:t>
      </w:r>
      <w:r w:rsidR="00105B5A">
        <w:rPr>
          <w:rFonts w:ascii="Century" w:hAnsi="Century" w:cs="Arial"/>
          <w:lang w:val="es-ES"/>
        </w:rPr>
        <w:t>,</w:t>
      </w:r>
      <w:r w:rsidR="00267339" w:rsidRPr="00267339">
        <w:rPr>
          <w:rFonts w:ascii="Century" w:hAnsi="Century" w:cs="Arial"/>
          <w:lang w:val="es-ES"/>
        </w:rPr>
        <w:t xml:space="preserve"> </w:t>
      </w:r>
      <w:r w:rsidR="00B04B46" w:rsidRPr="00267339">
        <w:rPr>
          <w:rFonts w:ascii="Century" w:hAnsi="Century" w:cs="Arial"/>
          <w:lang w:val="es-ES"/>
        </w:rPr>
        <w:t>aprobar</w:t>
      </w:r>
      <w:r w:rsidR="00105B5A">
        <w:rPr>
          <w:rFonts w:ascii="Century" w:hAnsi="Century" w:cs="Arial"/>
          <w:lang w:val="es-ES"/>
        </w:rPr>
        <w:t xml:space="preserve"> y rechazar </w:t>
      </w:r>
      <w:r w:rsidR="00267339" w:rsidRPr="00267339">
        <w:rPr>
          <w:rFonts w:ascii="Century" w:hAnsi="Century" w:cs="Arial"/>
          <w:lang w:val="es-ES"/>
        </w:rPr>
        <w:t xml:space="preserve">tarifas energéticas. A su vez, la ley provee que el </w:t>
      </w:r>
      <w:r w:rsidR="005C61BA" w:rsidRPr="00267339">
        <w:rPr>
          <w:rFonts w:ascii="Century" w:hAnsi="Century" w:cs="Arial"/>
          <w:lang w:val="es-ES"/>
        </w:rPr>
        <w:t>N</w:t>
      </w:r>
      <w:r w:rsidR="005C61BA">
        <w:rPr>
          <w:rFonts w:ascii="Century" w:hAnsi="Century" w:cs="Arial"/>
          <w:lang w:val="es-ES"/>
        </w:rPr>
        <w:t>egociado</w:t>
      </w:r>
      <w:r w:rsidR="005C61BA" w:rsidRPr="00267339">
        <w:rPr>
          <w:rFonts w:ascii="Century" w:hAnsi="Century" w:cs="Arial"/>
          <w:lang w:val="es-ES"/>
        </w:rPr>
        <w:t xml:space="preserve"> </w:t>
      </w:r>
      <w:r w:rsidR="00267339" w:rsidRPr="00267339">
        <w:rPr>
          <w:rFonts w:ascii="Century" w:hAnsi="Century" w:cs="Arial"/>
          <w:lang w:val="es-ES"/>
        </w:rPr>
        <w:t xml:space="preserve">deberá asegurar que las tarifas sean justas y razonables y que estén </w:t>
      </w:r>
      <w:r w:rsidR="00DE6E9C">
        <w:rPr>
          <w:rFonts w:ascii="Century" w:hAnsi="Century" w:cs="Arial"/>
          <w:lang w:val="es-ES"/>
        </w:rPr>
        <w:t>vinculadas</w:t>
      </w:r>
      <w:r w:rsidR="00267339" w:rsidRPr="00267339">
        <w:rPr>
          <w:rFonts w:ascii="Century" w:hAnsi="Century" w:cs="Arial"/>
          <w:lang w:val="es-ES"/>
        </w:rPr>
        <w:t xml:space="preserve"> a un servicio energético confiable. </w:t>
      </w:r>
      <w:r w:rsidR="00267339">
        <w:rPr>
          <w:rFonts w:ascii="Century" w:hAnsi="Century" w:cs="Arial"/>
          <w:lang w:val="es-ES"/>
        </w:rPr>
        <w:t xml:space="preserve">Por otro lado, </w:t>
      </w:r>
      <w:r w:rsidR="00327024">
        <w:rPr>
          <w:rFonts w:ascii="Century" w:hAnsi="Century" w:cs="Arial"/>
          <w:lang w:val="es-ES"/>
        </w:rPr>
        <w:t xml:space="preserve">como parte de la política pública energética del país </w:t>
      </w:r>
      <w:r w:rsidR="00AF269F">
        <w:rPr>
          <w:rFonts w:ascii="Century" w:hAnsi="Century" w:cs="Arial"/>
          <w:lang w:val="es-ES"/>
        </w:rPr>
        <w:t>establecida en</w:t>
      </w:r>
      <w:r w:rsidR="00327024">
        <w:rPr>
          <w:rFonts w:ascii="Century" w:hAnsi="Century" w:cs="Arial"/>
          <w:lang w:val="es-ES"/>
        </w:rPr>
        <w:t xml:space="preserve"> </w:t>
      </w:r>
      <w:r w:rsidR="00AF269F" w:rsidRPr="00AF269F">
        <w:rPr>
          <w:rFonts w:ascii="Century" w:hAnsi="Century" w:cs="Arial"/>
          <w:lang w:val="es-ES"/>
        </w:rPr>
        <w:t xml:space="preserve">la Ley 17-2019, </w:t>
      </w:r>
      <w:r w:rsidR="007B35E3">
        <w:rPr>
          <w:rFonts w:ascii="Century" w:hAnsi="Century" w:cs="Arial"/>
          <w:lang w:val="es-ES"/>
        </w:rPr>
        <w:t>la</w:t>
      </w:r>
      <w:r w:rsidR="00327024">
        <w:rPr>
          <w:rFonts w:ascii="Century" w:hAnsi="Century" w:cs="Arial"/>
          <w:lang w:val="es-ES"/>
        </w:rPr>
        <w:t xml:space="preserve"> </w:t>
      </w:r>
      <w:r w:rsidR="00327024" w:rsidDel="00497D76">
        <w:rPr>
          <w:rFonts w:ascii="Century" w:hAnsi="Century" w:cs="Arial"/>
          <w:lang w:val="es-ES"/>
        </w:rPr>
        <w:t xml:space="preserve">tarifa </w:t>
      </w:r>
      <w:r w:rsidR="0087778F">
        <w:rPr>
          <w:rFonts w:ascii="Century" w:hAnsi="Century" w:cs="Arial"/>
          <w:lang w:val="es-ES"/>
        </w:rPr>
        <w:t>debe estar</w:t>
      </w:r>
      <w:r w:rsidR="00497D76">
        <w:rPr>
          <w:rFonts w:ascii="Century" w:hAnsi="Century" w:cs="Arial"/>
          <w:lang w:val="es-ES"/>
        </w:rPr>
        <w:t xml:space="preserve"> </w:t>
      </w:r>
      <w:r w:rsidR="00327024">
        <w:rPr>
          <w:rFonts w:ascii="Century" w:hAnsi="Century" w:cs="Arial"/>
          <w:lang w:val="es-ES"/>
        </w:rPr>
        <w:t>por debajo de</w:t>
      </w:r>
      <w:r w:rsidR="00267339">
        <w:rPr>
          <w:rFonts w:ascii="Century" w:hAnsi="Century" w:cs="Arial"/>
          <w:lang w:val="es-ES"/>
        </w:rPr>
        <w:t xml:space="preserve"> 0.20 centavos por kilovatio por hora ($0.20/kWh</w:t>
      </w:r>
      <w:r w:rsidR="00C54319">
        <w:rPr>
          <w:rFonts w:ascii="Century" w:hAnsi="Century" w:cs="Arial"/>
          <w:lang w:val="es-ES"/>
        </w:rPr>
        <w:t>).</w:t>
      </w:r>
      <w:r w:rsidR="008E4F7C" w:rsidRPr="008E4F7C">
        <w:rPr>
          <w:lang w:val="es-PR"/>
        </w:rPr>
        <w:t xml:space="preserve"> </w:t>
      </w:r>
      <w:r w:rsidR="008E4F7C" w:rsidRPr="008E4F7C">
        <w:rPr>
          <w:rFonts w:ascii="Century" w:hAnsi="Century" w:cs="Arial"/>
          <w:lang w:val="es-PR"/>
        </w:rPr>
        <w:t xml:space="preserve">Sin embargo, el kilovatio por hora actual durante el trimestre de enero a marzo de 2026 se encuentra en 0.26/kWh, por lo cual un aumento </w:t>
      </w:r>
      <w:r w:rsidR="00682A88">
        <w:rPr>
          <w:rFonts w:ascii="Century" w:hAnsi="Century" w:cs="Arial"/>
          <w:lang w:val="es-PR"/>
        </w:rPr>
        <w:t xml:space="preserve">nos </w:t>
      </w:r>
      <w:r w:rsidR="007B35E3">
        <w:rPr>
          <w:rFonts w:ascii="Century" w:hAnsi="Century" w:cs="Arial"/>
          <w:lang w:val="es-PR"/>
        </w:rPr>
        <w:t>alejaría</w:t>
      </w:r>
      <w:r w:rsidR="00682A88">
        <w:rPr>
          <w:rFonts w:ascii="Century" w:hAnsi="Century" w:cs="Arial"/>
          <w:lang w:val="es-PR"/>
        </w:rPr>
        <w:t xml:space="preserve"> </w:t>
      </w:r>
      <w:r w:rsidR="005F6FD7">
        <w:rPr>
          <w:rFonts w:ascii="Century" w:hAnsi="Century" w:cs="Arial"/>
          <w:lang w:val="es-PR"/>
        </w:rPr>
        <w:t xml:space="preserve">aún más </w:t>
      </w:r>
      <w:r w:rsidR="00682A88">
        <w:rPr>
          <w:rFonts w:ascii="Century" w:hAnsi="Century" w:cs="Arial"/>
          <w:lang w:val="es-PR"/>
        </w:rPr>
        <w:t>de</w:t>
      </w:r>
      <w:r w:rsidR="00301999">
        <w:rPr>
          <w:rFonts w:ascii="Century" w:hAnsi="Century" w:cs="Arial"/>
          <w:lang w:val="es-PR"/>
        </w:rPr>
        <w:t xml:space="preserve"> la meta</w:t>
      </w:r>
      <w:r w:rsidR="008E4F7C" w:rsidRPr="008E4F7C">
        <w:rPr>
          <w:rFonts w:ascii="Century" w:hAnsi="Century" w:cs="Arial"/>
          <w:lang w:val="es-PR"/>
        </w:rPr>
        <w:t xml:space="preserve"> </w:t>
      </w:r>
      <w:r w:rsidR="005F6FD7">
        <w:rPr>
          <w:rFonts w:ascii="Century" w:hAnsi="Century" w:cs="Arial"/>
          <w:lang w:val="es-PR"/>
        </w:rPr>
        <w:t>establecida en</w:t>
      </w:r>
      <w:r w:rsidR="00135CBD" w:rsidRPr="008E4F7C">
        <w:rPr>
          <w:rFonts w:ascii="Century" w:hAnsi="Century" w:cs="Arial"/>
          <w:lang w:val="es-PR"/>
        </w:rPr>
        <w:t xml:space="preserve"> la </w:t>
      </w:r>
      <w:r w:rsidR="000452DB">
        <w:rPr>
          <w:rFonts w:ascii="Century" w:hAnsi="Century" w:cs="Arial"/>
          <w:lang w:val="es-PR"/>
        </w:rPr>
        <w:t>L</w:t>
      </w:r>
      <w:r w:rsidR="008E4F7C" w:rsidRPr="008E4F7C">
        <w:rPr>
          <w:rFonts w:ascii="Century" w:hAnsi="Century" w:cs="Arial"/>
          <w:lang w:val="es-PR"/>
        </w:rPr>
        <w:t>ey</w:t>
      </w:r>
      <w:r w:rsidR="00135CBD" w:rsidRPr="008E4F7C">
        <w:rPr>
          <w:rFonts w:ascii="Century" w:hAnsi="Century" w:cs="Arial"/>
          <w:lang w:val="es-PR"/>
        </w:rPr>
        <w:t xml:space="preserve"> 17-2019.</w:t>
      </w:r>
      <w:r w:rsidR="0086353C">
        <w:rPr>
          <w:rFonts w:ascii="Century" w:hAnsi="Century" w:cs="Arial"/>
          <w:lang w:val="es-PR"/>
        </w:rPr>
        <w:t xml:space="preserve"> </w:t>
      </w:r>
      <w:r w:rsidR="009A5C8D">
        <w:rPr>
          <w:rFonts w:ascii="Century" w:hAnsi="Century" w:cs="Arial"/>
          <w:lang w:val="es-PR"/>
        </w:rPr>
        <w:t>A modo ilustrativo, LUMA ha indicado que</w:t>
      </w:r>
      <w:r w:rsidR="00793941">
        <w:rPr>
          <w:rFonts w:ascii="Century" w:hAnsi="Century" w:cs="Arial"/>
          <w:lang w:val="es-PR"/>
        </w:rPr>
        <w:t xml:space="preserve"> </w:t>
      </w:r>
      <w:r w:rsidR="009A5C8D">
        <w:rPr>
          <w:rFonts w:ascii="Century" w:hAnsi="Century" w:cs="Arial"/>
          <w:lang w:val="es-PR"/>
        </w:rPr>
        <w:t>la factura para un cliente residencial que consuma 400 kWh mensuales podría aumentar aproximadamente $39.02, lo que representa un incremento de 42.14% en la tarifa base actual.</w:t>
      </w:r>
    </w:p>
    <w:p w14:paraId="57C37EF3" w14:textId="4684CA1B" w:rsidR="00EE7BE9" w:rsidRDefault="00E03220" w:rsidP="00C54319">
      <w:pPr>
        <w:spacing w:before="240"/>
        <w:ind w:firstLine="360"/>
        <w:jc w:val="both"/>
        <w:rPr>
          <w:rFonts w:ascii="Century" w:hAnsi="Century" w:cs="Arial"/>
          <w:lang w:val="es-ES"/>
        </w:rPr>
      </w:pPr>
      <w:r>
        <w:rPr>
          <w:rFonts w:ascii="Century" w:hAnsi="Century" w:cs="Arial"/>
          <w:lang w:val="es-ES"/>
        </w:rPr>
        <w:t>Es evidente que la</w:t>
      </w:r>
      <w:r w:rsidR="00135CBD">
        <w:rPr>
          <w:rFonts w:ascii="Century" w:hAnsi="Century" w:cs="Arial"/>
          <w:lang w:val="es-ES"/>
        </w:rPr>
        <w:t xml:space="preserve"> </w:t>
      </w:r>
      <w:r w:rsidR="003068F2">
        <w:rPr>
          <w:rFonts w:ascii="Century" w:hAnsi="Century" w:cs="Arial"/>
          <w:lang w:val="es-ES"/>
        </w:rPr>
        <w:t>tarifa propuesta</w:t>
      </w:r>
      <w:r w:rsidR="00135CBD">
        <w:rPr>
          <w:rFonts w:ascii="Century" w:hAnsi="Century" w:cs="Arial"/>
          <w:lang w:val="es-ES"/>
        </w:rPr>
        <w:t xml:space="preserve"> aumentaría la </w:t>
      </w:r>
      <w:r w:rsidR="00EE7BE9">
        <w:rPr>
          <w:rFonts w:ascii="Century" w:hAnsi="Century" w:cs="Arial"/>
          <w:lang w:val="es-ES"/>
        </w:rPr>
        <w:t>carga energética</w:t>
      </w:r>
      <w:r w:rsidR="00135CBD">
        <w:rPr>
          <w:rFonts w:ascii="Century" w:hAnsi="Century" w:cs="Arial"/>
          <w:lang w:val="es-ES"/>
        </w:rPr>
        <w:t xml:space="preserve"> </w:t>
      </w:r>
      <w:r w:rsidR="00135CBD" w:rsidDel="00545F0B">
        <w:rPr>
          <w:rFonts w:ascii="Century" w:hAnsi="Century" w:cs="Arial"/>
          <w:lang w:val="es-ES"/>
        </w:rPr>
        <w:t xml:space="preserve">que </w:t>
      </w:r>
      <w:r w:rsidR="00545F0B" w:rsidRPr="001F606D">
        <w:rPr>
          <w:rFonts w:ascii="Century" w:hAnsi="Century" w:cs="Arial"/>
          <w:highlight w:val="yellow"/>
          <w:lang w:val="es-ES"/>
        </w:rPr>
        <w:t>enfrento</w:t>
      </w:r>
      <w:r w:rsidR="00E521D8" w:rsidRPr="001F606D">
        <w:rPr>
          <w:rFonts w:ascii="Century" w:hAnsi="Century" w:cs="Arial"/>
          <w:highlight w:val="yellow"/>
          <w:lang w:val="es-ES"/>
        </w:rPr>
        <w:t xml:space="preserve"> [</w:t>
      </w:r>
      <w:r w:rsidR="00287F04" w:rsidRPr="001F606D">
        <w:rPr>
          <w:rFonts w:ascii="Century" w:hAnsi="Century" w:cs="Arial"/>
          <w:highlight w:val="yellow"/>
          <w:lang w:val="es-ES"/>
        </w:rPr>
        <w:t>amos]</w:t>
      </w:r>
      <w:r w:rsidR="00545F0B" w:rsidRPr="001F606D">
        <w:rPr>
          <w:rFonts w:ascii="Century" w:hAnsi="Century" w:cs="Arial"/>
          <w:highlight w:val="yellow"/>
          <w:lang w:val="es-ES"/>
        </w:rPr>
        <w:t xml:space="preserve"> como consumidor</w:t>
      </w:r>
      <w:r w:rsidR="008C2740" w:rsidRPr="001F606D">
        <w:rPr>
          <w:rFonts w:ascii="Century" w:hAnsi="Century" w:cs="Arial"/>
          <w:highlight w:val="yellow"/>
          <w:lang w:val="es-ES"/>
        </w:rPr>
        <w:t xml:space="preserve"> </w:t>
      </w:r>
      <w:r w:rsidR="00F15E27" w:rsidRPr="001F606D">
        <w:rPr>
          <w:rFonts w:ascii="Century" w:hAnsi="Century" w:cs="Arial"/>
          <w:highlight w:val="yellow"/>
          <w:lang w:val="es-ES"/>
        </w:rPr>
        <w:t>[</w:t>
      </w:r>
      <w:r w:rsidR="00545F0B" w:rsidRPr="001F606D">
        <w:rPr>
          <w:rFonts w:ascii="Century" w:hAnsi="Century" w:cs="Arial"/>
          <w:highlight w:val="yellow"/>
          <w:lang w:val="es-ES"/>
        </w:rPr>
        <w:t>a</w:t>
      </w:r>
      <w:r w:rsidR="00F15E27" w:rsidRPr="001F606D">
        <w:rPr>
          <w:rFonts w:ascii="Century" w:hAnsi="Century" w:cs="Arial"/>
          <w:highlight w:val="yellow"/>
          <w:lang w:val="es-ES"/>
        </w:rPr>
        <w:t>] [es]</w:t>
      </w:r>
      <w:r w:rsidR="00287F04" w:rsidRPr="001F606D">
        <w:rPr>
          <w:rFonts w:ascii="Century" w:hAnsi="Century" w:cs="Arial"/>
          <w:highlight w:val="yellow"/>
          <w:lang w:val="es-ES"/>
        </w:rPr>
        <w:t xml:space="preserve"> </w:t>
      </w:r>
      <w:r w:rsidR="00A955E2" w:rsidRPr="001F606D">
        <w:rPr>
          <w:rFonts w:ascii="Century" w:hAnsi="Century" w:cs="Arial"/>
          <w:highlight w:val="yellow"/>
          <w:lang w:val="es-ES"/>
        </w:rPr>
        <w:t>y me [nos]</w:t>
      </w:r>
      <w:r w:rsidR="00A955E2" w:rsidRPr="008C2740">
        <w:rPr>
          <w:rFonts w:ascii="Century" w:hAnsi="Century" w:cs="Arial"/>
          <w:lang w:val="es-ES"/>
        </w:rPr>
        <w:t xml:space="preserve"> ata a pagar</w:t>
      </w:r>
      <w:r w:rsidR="0063338E" w:rsidRPr="008C2740">
        <w:rPr>
          <w:rFonts w:ascii="Century" w:hAnsi="Century" w:cs="Arial"/>
          <w:lang w:val="es-ES"/>
        </w:rPr>
        <w:t xml:space="preserve"> </w:t>
      </w:r>
      <w:r w:rsidR="00A955E2" w:rsidRPr="008C2740">
        <w:rPr>
          <w:rFonts w:ascii="Century" w:hAnsi="Century" w:cs="Arial"/>
          <w:lang w:val="es-ES"/>
        </w:rPr>
        <w:t>una tarifa</w:t>
      </w:r>
      <w:r w:rsidR="00A955E2" w:rsidRPr="00A13390">
        <w:rPr>
          <w:rFonts w:ascii="Century" w:hAnsi="Century" w:cs="Arial"/>
          <w:lang w:val="es-ES"/>
        </w:rPr>
        <w:t xml:space="preserve"> </w:t>
      </w:r>
      <w:r w:rsidR="00031B4B" w:rsidRPr="001F606D">
        <w:rPr>
          <w:rFonts w:ascii="Century" w:hAnsi="Century" w:cs="Arial"/>
          <w:lang w:val="es-ES"/>
        </w:rPr>
        <w:t>insostenible por</w:t>
      </w:r>
      <w:r w:rsidR="00135CBD" w:rsidRPr="00A13390">
        <w:rPr>
          <w:rFonts w:ascii="Century" w:hAnsi="Century" w:cs="Arial"/>
          <w:lang w:val="es-ES"/>
        </w:rPr>
        <w:t xml:space="preserve"> un </w:t>
      </w:r>
      <w:r w:rsidR="00EE7BE9" w:rsidRPr="00A13390">
        <w:rPr>
          <w:rFonts w:ascii="Century" w:hAnsi="Century" w:cs="Arial"/>
          <w:lang w:val="es-ES"/>
        </w:rPr>
        <w:lastRenderedPageBreak/>
        <w:t>sistema</w:t>
      </w:r>
      <w:r w:rsidR="00135CBD" w:rsidRPr="00A13390">
        <w:rPr>
          <w:rFonts w:ascii="Century" w:hAnsi="Century" w:cs="Arial"/>
          <w:lang w:val="es-ES"/>
        </w:rPr>
        <w:t xml:space="preserve"> </w:t>
      </w:r>
      <w:r w:rsidR="00EE7BE9" w:rsidRPr="00A13390">
        <w:rPr>
          <w:rFonts w:ascii="Century" w:hAnsi="Century" w:cs="Arial"/>
          <w:lang w:val="es-ES"/>
        </w:rPr>
        <w:t>energético</w:t>
      </w:r>
      <w:r w:rsidR="00135CBD" w:rsidRPr="00A13390">
        <w:rPr>
          <w:rFonts w:ascii="Century" w:hAnsi="Century" w:cs="Arial"/>
          <w:lang w:val="es-ES"/>
        </w:rPr>
        <w:t xml:space="preserve"> que resulta</w:t>
      </w:r>
      <w:r w:rsidRPr="00A13390">
        <w:rPr>
          <w:rFonts w:ascii="Century" w:hAnsi="Century" w:cs="Arial"/>
          <w:lang w:val="es-ES"/>
        </w:rPr>
        <w:t xml:space="preserve"> cada vez</w:t>
      </w:r>
      <w:r w:rsidR="00135CBD" w:rsidRPr="00A13390">
        <w:rPr>
          <w:rFonts w:ascii="Century" w:hAnsi="Century" w:cs="Arial"/>
          <w:lang w:val="es-ES"/>
        </w:rPr>
        <w:t xml:space="preserve"> </w:t>
      </w:r>
      <w:r w:rsidR="6BBC19F8" w:rsidRPr="00A13390">
        <w:rPr>
          <w:rFonts w:ascii="Century" w:hAnsi="Century" w:cs="Arial"/>
          <w:lang w:val="es-ES"/>
        </w:rPr>
        <w:t>más</w:t>
      </w:r>
      <w:r w:rsidR="00135CBD" w:rsidRPr="00A13390">
        <w:rPr>
          <w:rFonts w:ascii="Century" w:hAnsi="Century" w:cs="Arial"/>
          <w:lang w:val="es-ES"/>
        </w:rPr>
        <w:t xml:space="preserve"> frágil</w:t>
      </w:r>
      <w:r w:rsidR="005F3E1E" w:rsidRPr="00A13390">
        <w:rPr>
          <w:rFonts w:ascii="Century" w:hAnsi="Century" w:cs="Arial"/>
          <w:lang w:val="es-ES"/>
        </w:rPr>
        <w:t xml:space="preserve"> y precario</w:t>
      </w:r>
      <w:r w:rsidR="00135CBD">
        <w:rPr>
          <w:rFonts w:ascii="Century" w:hAnsi="Century" w:cs="Arial"/>
          <w:lang w:val="es-ES"/>
        </w:rPr>
        <w:t xml:space="preserve">. </w:t>
      </w:r>
      <w:r w:rsidR="003068F2">
        <w:rPr>
          <w:rFonts w:ascii="Century" w:hAnsi="Century" w:cs="Arial"/>
          <w:lang w:val="es-ES"/>
        </w:rPr>
        <w:t xml:space="preserve">Además, </w:t>
      </w:r>
      <w:r w:rsidR="00CD69F0">
        <w:rPr>
          <w:rFonts w:ascii="Century" w:hAnsi="Century" w:cs="Arial"/>
          <w:lang w:val="es-ES"/>
        </w:rPr>
        <w:t xml:space="preserve">la continua vulnerabilidad del sistema energético </w:t>
      </w:r>
      <w:r w:rsidR="008A03E0">
        <w:rPr>
          <w:rFonts w:ascii="Century" w:hAnsi="Century" w:cs="Arial"/>
          <w:lang w:val="es-ES"/>
        </w:rPr>
        <w:t xml:space="preserve">resalta la incapacidad de LUMA y Genera </w:t>
      </w:r>
      <w:r w:rsidR="000A6DB0">
        <w:rPr>
          <w:rFonts w:ascii="Century" w:hAnsi="Century" w:cs="Arial"/>
          <w:lang w:val="es-ES"/>
        </w:rPr>
        <w:t>para</w:t>
      </w:r>
      <w:r w:rsidR="008A03E0">
        <w:rPr>
          <w:rFonts w:ascii="Century" w:hAnsi="Century" w:cs="Arial"/>
          <w:lang w:val="es-ES"/>
        </w:rPr>
        <w:t xml:space="preserve"> administrar la red</w:t>
      </w:r>
      <w:r w:rsidR="009F3DA0">
        <w:rPr>
          <w:rFonts w:ascii="Century" w:hAnsi="Century" w:cs="Arial"/>
          <w:lang w:val="es-ES"/>
        </w:rPr>
        <w:t xml:space="preserve"> y pone en evidencia</w:t>
      </w:r>
      <w:r w:rsidR="005A4E37">
        <w:rPr>
          <w:rFonts w:ascii="Century" w:hAnsi="Century" w:cs="Arial"/>
          <w:lang w:val="es-ES"/>
        </w:rPr>
        <w:t xml:space="preserve"> los fracasos de la privatización</w:t>
      </w:r>
      <w:r w:rsidR="008A03E0">
        <w:rPr>
          <w:rFonts w:ascii="Century" w:hAnsi="Century" w:cs="Arial"/>
          <w:lang w:val="es-ES"/>
        </w:rPr>
        <w:t>.</w:t>
      </w:r>
      <w:r w:rsidR="00CD69F0">
        <w:rPr>
          <w:rFonts w:ascii="Century" w:hAnsi="Century" w:cs="Arial"/>
          <w:lang w:val="es-ES"/>
        </w:rPr>
        <w:t xml:space="preserve"> </w:t>
      </w:r>
      <w:r w:rsidR="00C879EC">
        <w:rPr>
          <w:rFonts w:ascii="Century" w:hAnsi="Century" w:cs="Arial"/>
          <w:lang w:val="es-ES"/>
        </w:rPr>
        <w:t>Ante esta realidad,</w:t>
      </w:r>
      <w:r w:rsidR="003068F2">
        <w:rPr>
          <w:rFonts w:ascii="Century" w:hAnsi="Century" w:cs="Arial"/>
          <w:lang w:val="es-ES"/>
        </w:rPr>
        <w:t xml:space="preserve"> </w:t>
      </w:r>
      <w:r w:rsidR="00C879EC">
        <w:rPr>
          <w:rFonts w:ascii="Century" w:hAnsi="Century" w:cs="Arial"/>
          <w:lang w:val="es-ES"/>
        </w:rPr>
        <w:t xml:space="preserve">resulta indispensable </w:t>
      </w:r>
      <w:r w:rsidR="00AF5B68">
        <w:rPr>
          <w:rFonts w:ascii="Century" w:hAnsi="Century" w:cs="Arial"/>
          <w:lang w:val="es-ES"/>
        </w:rPr>
        <w:t xml:space="preserve">el </w:t>
      </w:r>
      <w:r w:rsidR="005C61BA">
        <w:rPr>
          <w:rFonts w:ascii="Century" w:hAnsi="Century" w:cs="Arial"/>
          <w:lang w:val="es-ES"/>
        </w:rPr>
        <w:t xml:space="preserve">Negociado </w:t>
      </w:r>
      <w:r w:rsidR="00AF5B68">
        <w:rPr>
          <w:rFonts w:ascii="Century" w:hAnsi="Century" w:cs="Arial"/>
          <w:lang w:val="es-ES"/>
        </w:rPr>
        <w:t>recha</w:t>
      </w:r>
      <w:r w:rsidR="007F4D27">
        <w:rPr>
          <w:rFonts w:ascii="Century" w:hAnsi="Century" w:cs="Arial"/>
          <w:lang w:val="es-ES"/>
        </w:rPr>
        <w:t>c</w:t>
      </w:r>
      <w:r w:rsidR="00AF5B68">
        <w:rPr>
          <w:rFonts w:ascii="Century" w:hAnsi="Century" w:cs="Arial"/>
          <w:lang w:val="es-ES"/>
        </w:rPr>
        <w:t>e cualquier aumento en la tarifa y</w:t>
      </w:r>
      <w:r w:rsidR="000B4261">
        <w:rPr>
          <w:rFonts w:ascii="Century" w:hAnsi="Century" w:cs="Arial"/>
          <w:lang w:val="es-ES"/>
        </w:rPr>
        <w:t>,</w:t>
      </w:r>
      <w:r w:rsidR="00AF5B68">
        <w:rPr>
          <w:rFonts w:ascii="Century" w:hAnsi="Century" w:cs="Arial"/>
          <w:lang w:val="es-ES"/>
        </w:rPr>
        <w:t xml:space="preserve"> en </w:t>
      </w:r>
      <w:r w:rsidR="000B4261">
        <w:rPr>
          <w:rFonts w:ascii="Century" w:hAnsi="Century" w:cs="Arial"/>
          <w:lang w:val="es-ES"/>
        </w:rPr>
        <w:t>su lugar</w:t>
      </w:r>
      <w:r w:rsidR="00DE6E9C">
        <w:rPr>
          <w:rFonts w:ascii="Century" w:hAnsi="Century" w:cs="Arial"/>
          <w:lang w:val="es-ES"/>
        </w:rPr>
        <w:t xml:space="preserve">: </w:t>
      </w:r>
    </w:p>
    <w:p w14:paraId="5CB5DE09" w14:textId="7209A4A7" w:rsidR="00EF3B3C" w:rsidRPr="00DE6E9C" w:rsidRDefault="734953B4" w:rsidP="00DE6E9C">
      <w:pPr>
        <w:pStyle w:val="ListParagraph"/>
        <w:numPr>
          <w:ilvl w:val="0"/>
          <w:numId w:val="2"/>
        </w:numPr>
        <w:spacing w:before="240"/>
        <w:jc w:val="both"/>
        <w:rPr>
          <w:rFonts w:ascii="Century" w:hAnsi="Century" w:cs="Arial"/>
          <w:lang w:val="es-PR"/>
        </w:rPr>
      </w:pPr>
      <w:r w:rsidRPr="00D26CAA">
        <w:rPr>
          <w:rFonts w:ascii="Century" w:hAnsi="Century" w:cs="Arial"/>
          <w:b/>
          <w:u w:val="single"/>
          <w:lang w:val="es-ES"/>
        </w:rPr>
        <w:t>Exija</w:t>
      </w:r>
      <w:r w:rsidR="00DE6E9C" w:rsidRPr="00D26CAA">
        <w:rPr>
          <w:rFonts w:ascii="Century" w:hAnsi="Century" w:cs="Arial"/>
          <w:b/>
          <w:u w:val="single"/>
          <w:lang w:val="es-ES"/>
        </w:rPr>
        <w:t xml:space="preserve"> una a</w:t>
      </w:r>
      <w:r w:rsidR="00EF3B3C" w:rsidRPr="00D26CAA">
        <w:rPr>
          <w:rFonts w:ascii="Century" w:hAnsi="Century" w:cs="Arial"/>
          <w:b/>
          <w:u w:val="single"/>
          <w:lang w:val="es-ES"/>
        </w:rPr>
        <w:t>uditor</w:t>
      </w:r>
      <w:r w:rsidR="00DE6E9C" w:rsidRPr="00D26CAA">
        <w:rPr>
          <w:rFonts w:ascii="Century" w:hAnsi="Century" w:cs="Arial"/>
          <w:b/>
          <w:u w:val="single"/>
          <w:lang w:val="es-PR"/>
        </w:rPr>
        <w:t>í</w:t>
      </w:r>
      <w:r w:rsidR="00EF3B3C" w:rsidRPr="00D26CAA">
        <w:rPr>
          <w:rFonts w:ascii="Century" w:hAnsi="Century" w:cs="Arial"/>
          <w:b/>
          <w:u w:val="single"/>
          <w:lang w:val="es-ES"/>
        </w:rPr>
        <w:t>a previa a cualquier aumento tarifario:</w:t>
      </w:r>
      <w:r w:rsidR="00EF3B3C" w:rsidRPr="00DE6E9C">
        <w:rPr>
          <w:rFonts w:ascii="Century" w:hAnsi="Century" w:cs="Arial"/>
          <w:lang w:val="es-ES"/>
        </w:rPr>
        <w:t xml:space="preserve"> Como condición para cualquier incremento, LUMA y Genera deben ser auditadas de manera integral por un tercero independiente, para esclarecer cómo y cu</w:t>
      </w:r>
      <w:r w:rsidR="00EF3B3C" w:rsidRPr="00DE6E9C">
        <w:rPr>
          <w:rFonts w:ascii="Century" w:hAnsi="Century" w:cs="Arial"/>
          <w:lang w:val="es-PR"/>
        </w:rPr>
        <w:t>á</w:t>
      </w:r>
      <w:r w:rsidR="00EF3B3C" w:rsidRPr="00DE6E9C">
        <w:rPr>
          <w:rFonts w:ascii="Century" w:hAnsi="Century" w:cs="Arial"/>
          <w:lang w:val="es-ES"/>
        </w:rPr>
        <w:t>n efectivamente est</w:t>
      </w:r>
      <w:r w:rsidR="00EF3B3C" w:rsidRPr="00DE6E9C">
        <w:rPr>
          <w:rFonts w:ascii="Century" w:hAnsi="Century" w:cs="Arial"/>
          <w:lang w:val="es-PR"/>
        </w:rPr>
        <w:t>á</w:t>
      </w:r>
      <w:r w:rsidR="00EF3B3C" w:rsidRPr="00DE6E9C">
        <w:rPr>
          <w:rFonts w:ascii="Century" w:hAnsi="Century" w:cs="Arial"/>
          <w:lang w:val="es-ES"/>
        </w:rPr>
        <w:t xml:space="preserve">n utilizando los fondos recibidos. </w:t>
      </w:r>
    </w:p>
    <w:p w14:paraId="010F68CA" w14:textId="729D0B9C" w:rsidR="00EF3B3C" w:rsidRDefault="00EF3B3C" w:rsidP="00EF3B3C">
      <w:pPr>
        <w:pStyle w:val="ListParagraph"/>
        <w:numPr>
          <w:ilvl w:val="0"/>
          <w:numId w:val="2"/>
        </w:numPr>
        <w:spacing w:before="240"/>
        <w:jc w:val="both"/>
        <w:rPr>
          <w:rFonts w:ascii="Century" w:hAnsi="Century" w:cs="Arial"/>
          <w:lang w:val="es-ES"/>
        </w:rPr>
      </w:pPr>
      <w:r w:rsidRPr="00D26CAA">
        <w:rPr>
          <w:rFonts w:ascii="Century" w:hAnsi="Century" w:cs="Arial"/>
          <w:b/>
          <w:u w:val="single"/>
          <w:lang w:val="es-ES"/>
        </w:rPr>
        <w:t>Den</w:t>
      </w:r>
      <w:r w:rsidR="00DE6E9C" w:rsidRPr="00D26CAA">
        <w:rPr>
          <w:rFonts w:ascii="Century" w:hAnsi="Century" w:cs="Arial"/>
          <w:b/>
          <w:u w:val="single"/>
          <w:lang w:val="es-ES"/>
        </w:rPr>
        <w:t>iegue</w:t>
      </w:r>
      <w:r w:rsidRPr="00D26CAA">
        <w:rPr>
          <w:rFonts w:ascii="Century" w:hAnsi="Century" w:cs="Arial"/>
          <w:b/>
          <w:u w:val="single"/>
          <w:lang w:val="es-ES"/>
        </w:rPr>
        <w:t xml:space="preserve"> cualquier aumento que incremente la carga energética</w:t>
      </w:r>
      <w:r w:rsidR="000C4817" w:rsidRPr="00D26CAA">
        <w:rPr>
          <w:rFonts w:ascii="Century" w:hAnsi="Century" w:cs="Arial"/>
          <w:b/>
          <w:u w:val="single"/>
          <w:lang w:val="es-ES"/>
        </w:rPr>
        <w:t>:</w:t>
      </w:r>
      <w:r w:rsidR="007316F8">
        <w:rPr>
          <w:rFonts w:ascii="Century" w:hAnsi="Century" w:cs="Arial"/>
          <w:lang w:val="es-ES"/>
        </w:rPr>
        <w:t xml:space="preserve"> La carga energética se refiere al porcentaje del ingreso bruto de un hogar destinado al pago de costos de energía.</w:t>
      </w:r>
      <w:r w:rsidR="002C48D4">
        <w:rPr>
          <w:rFonts w:ascii="Century" w:hAnsi="Century" w:cs="Arial"/>
          <w:lang w:val="es-ES"/>
        </w:rPr>
        <w:t xml:space="preserve"> El Departamento de Energía de los Estados Unidos </w:t>
      </w:r>
      <w:r w:rsidR="00FE4762">
        <w:rPr>
          <w:rFonts w:ascii="Century" w:hAnsi="Century" w:cs="Arial"/>
          <w:lang w:val="es-ES"/>
        </w:rPr>
        <w:t xml:space="preserve">establece que </w:t>
      </w:r>
      <w:r w:rsidR="004F3521">
        <w:rPr>
          <w:rFonts w:ascii="Century" w:hAnsi="Century" w:cs="Arial"/>
          <w:lang w:val="es-ES"/>
        </w:rPr>
        <w:t xml:space="preserve">un hogar que destine el </w:t>
      </w:r>
      <w:r w:rsidR="00836860">
        <w:rPr>
          <w:rFonts w:ascii="Century" w:hAnsi="Century" w:cs="Arial"/>
          <w:lang w:val="es-ES"/>
        </w:rPr>
        <w:t xml:space="preserve">6% o </w:t>
      </w:r>
      <w:r w:rsidR="00650E15">
        <w:rPr>
          <w:rFonts w:ascii="Century" w:hAnsi="Century" w:cs="Arial"/>
          <w:lang w:val="es-ES"/>
        </w:rPr>
        <w:t>más</w:t>
      </w:r>
      <w:r w:rsidR="00836860">
        <w:rPr>
          <w:rFonts w:ascii="Century" w:hAnsi="Century" w:cs="Arial"/>
          <w:lang w:val="es-ES"/>
        </w:rPr>
        <w:t xml:space="preserve"> de sus ingresos brutos al pago de la factura energética </w:t>
      </w:r>
      <w:r w:rsidR="00650E15">
        <w:rPr>
          <w:rFonts w:ascii="Century" w:hAnsi="Century" w:cs="Arial"/>
          <w:lang w:val="es-ES"/>
        </w:rPr>
        <w:t>se considera de alta carga energética</w:t>
      </w:r>
      <w:r w:rsidR="00B218F5">
        <w:rPr>
          <w:rFonts w:ascii="Century" w:hAnsi="Century" w:cs="Arial"/>
          <w:lang w:val="es-ES"/>
        </w:rPr>
        <w:t>.</w:t>
      </w:r>
      <w:r w:rsidR="00AC4DBF">
        <w:rPr>
          <w:rStyle w:val="FootnoteReference"/>
          <w:rFonts w:ascii="Century" w:hAnsi="Century" w:cs="Arial"/>
          <w:lang w:val="es-ES"/>
        </w:rPr>
        <w:footnoteReference w:id="1"/>
      </w:r>
      <w:r w:rsidR="00B218F5">
        <w:rPr>
          <w:rFonts w:ascii="Century" w:hAnsi="Century" w:cs="Arial"/>
          <w:lang w:val="es-ES"/>
        </w:rPr>
        <w:t xml:space="preserve"> </w:t>
      </w:r>
      <w:r w:rsidR="007316F8">
        <w:rPr>
          <w:rFonts w:ascii="Century" w:hAnsi="Century" w:cs="Arial"/>
          <w:lang w:val="es-ES"/>
        </w:rPr>
        <w:t xml:space="preserve"> </w:t>
      </w:r>
      <w:r w:rsidR="0078521C">
        <w:rPr>
          <w:rFonts w:ascii="Century" w:hAnsi="Century" w:cs="Arial"/>
          <w:lang w:val="es-ES"/>
        </w:rPr>
        <w:t>En Puerto Rico</w:t>
      </w:r>
      <w:r w:rsidR="00E01C49">
        <w:rPr>
          <w:rFonts w:ascii="Century" w:hAnsi="Century" w:cs="Arial"/>
          <w:lang w:val="es-ES"/>
        </w:rPr>
        <w:t xml:space="preserve">, </w:t>
      </w:r>
      <w:r w:rsidR="00057324">
        <w:rPr>
          <w:rFonts w:ascii="Century" w:hAnsi="Century" w:cs="Arial"/>
          <w:lang w:val="es-ES"/>
        </w:rPr>
        <w:t>de acuerdo con</w:t>
      </w:r>
      <w:r w:rsidR="00162DB8">
        <w:rPr>
          <w:rFonts w:ascii="Century" w:hAnsi="Century" w:cs="Arial"/>
          <w:lang w:val="es-ES"/>
        </w:rPr>
        <w:t xml:space="preserve"> </w:t>
      </w:r>
      <w:r w:rsidR="00145C1C">
        <w:rPr>
          <w:rFonts w:ascii="Century" w:hAnsi="Century" w:cs="Arial"/>
          <w:lang w:val="es-ES"/>
        </w:rPr>
        <w:t xml:space="preserve">un artículo publicado por el </w:t>
      </w:r>
      <w:r w:rsidR="00127A3B">
        <w:rPr>
          <w:rFonts w:ascii="Century" w:hAnsi="Century" w:cs="Arial"/>
          <w:lang w:val="es-ES"/>
        </w:rPr>
        <w:t>Instituto de Análisis Económico y Financiero de la Energía (“IEEFA”</w:t>
      </w:r>
      <w:r w:rsidR="004F3A9A">
        <w:rPr>
          <w:rFonts w:ascii="Century" w:hAnsi="Century" w:cs="Arial"/>
          <w:lang w:val="es-ES"/>
        </w:rPr>
        <w:t>, por sus siglas en ingl</w:t>
      </w:r>
      <w:r w:rsidR="0097710F">
        <w:rPr>
          <w:rFonts w:ascii="Century" w:hAnsi="Century" w:cs="Arial"/>
          <w:lang w:val="es-ES"/>
        </w:rPr>
        <w:t>és</w:t>
      </w:r>
      <w:r w:rsidR="00127A3B">
        <w:rPr>
          <w:rFonts w:ascii="Century" w:hAnsi="Century" w:cs="Arial"/>
          <w:lang w:val="es-ES"/>
        </w:rPr>
        <w:t xml:space="preserve">), </w:t>
      </w:r>
      <w:r w:rsidR="00E01C49">
        <w:rPr>
          <w:rFonts w:ascii="Century" w:hAnsi="Century" w:cs="Arial"/>
          <w:lang w:val="es-ES"/>
        </w:rPr>
        <w:t>esta carga puede alcanzar hasta un 3</w:t>
      </w:r>
      <w:r w:rsidR="00162DB8">
        <w:rPr>
          <w:rFonts w:ascii="Century" w:hAnsi="Century" w:cs="Arial"/>
          <w:lang w:val="es-ES"/>
        </w:rPr>
        <w:t>3</w:t>
      </w:r>
      <w:r w:rsidR="00E01C49">
        <w:rPr>
          <w:rFonts w:ascii="Century" w:hAnsi="Century" w:cs="Arial"/>
          <w:lang w:val="es-ES"/>
        </w:rPr>
        <w:t xml:space="preserve">% del ingreso familiar en </w:t>
      </w:r>
      <w:r w:rsidR="00F8609A">
        <w:rPr>
          <w:rFonts w:ascii="Century" w:hAnsi="Century" w:cs="Arial"/>
          <w:lang w:val="es-ES"/>
        </w:rPr>
        <w:t>sectores de muy bajos ingresos</w:t>
      </w:r>
      <w:r w:rsidR="006F610A">
        <w:rPr>
          <w:rFonts w:ascii="Century" w:hAnsi="Century" w:cs="Arial"/>
          <w:lang w:val="es-ES"/>
        </w:rPr>
        <w:t>;</w:t>
      </w:r>
      <w:r w:rsidR="00050E8E">
        <w:rPr>
          <w:rStyle w:val="FootnoteReference"/>
          <w:rFonts w:ascii="Century" w:hAnsi="Century" w:cs="Arial"/>
          <w:lang w:val="es-ES"/>
        </w:rPr>
        <w:footnoteReference w:id="2"/>
      </w:r>
      <w:r w:rsidR="00E01C49">
        <w:rPr>
          <w:rFonts w:ascii="Century" w:hAnsi="Century" w:cs="Arial"/>
          <w:lang w:val="es-ES"/>
        </w:rPr>
        <w:t xml:space="preserve"> muy por encima del 6% </w:t>
      </w:r>
      <w:r w:rsidR="00E01C49" w:rsidDel="009E0ECF">
        <w:rPr>
          <w:rFonts w:ascii="Century" w:hAnsi="Century" w:cs="Arial"/>
          <w:lang w:val="es-ES"/>
        </w:rPr>
        <w:t>que ya se considera alt</w:t>
      </w:r>
      <w:r w:rsidR="00AF7BFD" w:rsidDel="009E0ECF">
        <w:rPr>
          <w:rFonts w:ascii="Century" w:hAnsi="Century" w:cs="Arial"/>
          <w:lang w:val="es-ES"/>
        </w:rPr>
        <w:t>o</w:t>
      </w:r>
      <w:r w:rsidR="006F610A">
        <w:rPr>
          <w:rFonts w:ascii="Century" w:hAnsi="Century" w:cs="Arial"/>
          <w:lang w:val="es-ES"/>
        </w:rPr>
        <w:t>.</w:t>
      </w:r>
      <w:r w:rsidR="00875915" w:rsidDel="002C48D4">
        <w:rPr>
          <w:rFonts w:ascii="Century" w:hAnsi="Century" w:cs="Arial"/>
          <w:lang w:val="es-ES"/>
        </w:rPr>
        <w:t xml:space="preserve"> </w:t>
      </w:r>
      <w:r w:rsidR="00DF7FED">
        <w:rPr>
          <w:rFonts w:ascii="Century" w:hAnsi="Century" w:cs="Arial"/>
          <w:lang w:val="es-ES"/>
        </w:rPr>
        <w:t xml:space="preserve">Por ello, resulta indispensable evitar </w:t>
      </w:r>
      <w:r w:rsidR="00EA2C86">
        <w:rPr>
          <w:rFonts w:ascii="Century" w:hAnsi="Century" w:cs="Arial"/>
          <w:lang w:val="es-ES"/>
        </w:rPr>
        <w:t xml:space="preserve">un </w:t>
      </w:r>
      <w:r w:rsidR="00DF7FED">
        <w:rPr>
          <w:rFonts w:ascii="Century" w:hAnsi="Century" w:cs="Arial"/>
          <w:lang w:val="es-ES"/>
        </w:rPr>
        <w:t>aument</w:t>
      </w:r>
      <w:r w:rsidR="00EA2C86">
        <w:rPr>
          <w:rFonts w:ascii="Century" w:hAnsi="Century" w:cs="Arial"/>
          <w:lang w:val="es-ES"/>
        </w:rPr>
        <w:t>o</w:t>
      </w:r>
      <w:r w:rsidR="00DF7FED">
        <w:rPr>
          <w:rFonts w:ascii="Century" w:hAnsi="Century" w:cs="Arial"/>
          <w:lang w:val="es-ES"/>
        </w:rPr>
        <w:t xml:space="preserve"> </w:t>
      </w:r>
      <w:r w:rsidR="007F6961">
        <w:rPr>
          <w:rFonts w:ascii="Century" w:hAnsi="Century" w:cs="Arial"/>
          <w:lang w:val="es-ES"/>
        </w:rPr>
        <w:t>y exigir que las acciones de los operadores del sistema se orienten a reducirla, no a incrementarla.</w:t>
      </w:r>
    </w:p>
    <w:p w14:paraId="42A2CCBA" w14:textId="72A8BCEE" w:rsidR="00EF3B3C" w:rsidRPr="00EF3B3C" w:rsidRDefault="00EF3B3C" w:rsidP="00EF3B3C">
      <w:pPr>
        <w:pStyle w:val="ListParagraph"/>
        <w:numPr>
          <w:ilvl w:val="0"/>
          <w:numId w:val="2"/>
        </w:numPr>
        <w:spacing w:before="240"/>
        <w:jc w:val="both"/>
        <w:rPr>
          <w:rFonts w:ascii="Century" w:hAnsi="Century" w:cs="Arial"/>
          <w:lang w:val="es-PR"/>
        </w:rPr>
      </w:pPr>
      <w:r w:rsidRPr="00D26CAA">
        <w:rPr>
          <w:rFonts w:ascii="Century" w:hAnsi="Century" w:cs="Arial"/>
          <w:b/>
          <w:u w:val="single"/>
          <w:lang w:val="es-ES"/>
        </w:rPr>
        <w:t>Impuls</w:t>
      </w:r>
      <w:r w:rsidR="00DE6E9C" w:rsidRPr="00D26CAA">
        <w:rPr>
          <w:rFonts w:ascii="Century" w:hAnsi="Century" w:cs="Arial"/>
          <w:b/>
          <w:u w:val="single"/>
          <w:lang w:val="es-ES"/>
        </w:rPr>
        <w:t>e</w:t>
      </w:r>
      <w:r w:rsidRPr="00D26CAA">
        <w:rPr>
          <w:rFonts w:ascii="Century" w:hAnsi="Century" w:cs="Arial"/>
          <w:b/>
          <w:u w:val="single"/>
          <w:lang w:val="es-ES"/>
        </w:rPr>
        <w:t xml:space="preserve"> </w:t>
      </w:r>
      <w:r w:rsidR="00DE6E9C" w:rsidRPr="00D26CAA">
        <w:rPr>
          <w:rFonts w:ascii="Century" w:hAnsi="Century" w:cs="Arial"/>
          <w:b/>
          <w:u w:val="single"/>
          <w:lang w:val="es-ES"/>
        </w:rPr>
        <w:t xml:space="preserve">inversiones en </w:t>
      </w:r>
      <w:r w:rsidRPr="00D26CAA">
        <w:rPr>
          <w:rFonts w:ascii="Century" w:hAnsi="Century" w:cs="Arial"/>
          <w:b/>
          <w:u w:val="single"/>
          <w:lang w:val="es-ES"/>
        </w:rPr>
        <w:t>energía renovable:</w:t>
      </w:r>
      <w:r>
        <w:rPr>
          <w:rFonts w:ascii="Century" w:hAnsi="Century" w:cs="Arial"/>
          <w:lang w:val="es-ES"/>
        </w:rPr>
        <w:t xml:space="preserve"> </w:t>
      </w:r>
      <w:r w:rsidR="00A671A4">
        <w:rPr>
          <w:rFonts w:ascii="Century" w:hAnsi="Century" w:cs="Arial"/>
          <w:lang w:val="es-ES"/>
        </w:rPr>
        <w:t>Es vital a</w:t>
      </w:r>
      <w:r>
        <w:rPr>
          <w:rFonts w:ascii="Century" w:hAnsi="Century" w:cs="Arial"/>
          <w:lang w:val="es-ES"/>
        </w:rPr>
        <w:t>umentar inversiones en sistemas solares en techos con almacenamiento y garantizar que la estructura tarifaria incorpore el requisito de alcanzar un 100% de energía renovable para el a</w:t>
      </w:r>
      <w:r w:rsidRPr="00EF3B3C">
        <w:rPr>
          <w:rFonts w:ascii="Century" w:hAnsi="Century" w:cs="Arial"/>
          <w:lang w:val="es-PR"/>
        </w:rPr>
        <w:t>ño</w:t>
      </w:r>
      <w:r>
        <w:rPr>
          <w:rFonts w:ascii="Century" w:hAnsi="Century" w:cs="Arial"/>
          <w:lang w:val="es-PR"/>
        </w:rPr>
        <w:t xml:space="preserve"> 2050. </w:t>
      </w:r>
    </w:p>
    <w:p w14:paraId="440CEA89" w14:textId="7A84DA77" w:rsidR="00EF3B3C" w:rsidRDefault="00DE6E9C" w:rsidP="00EF3B3C">
      <w:pPr>
        <w:pStyle w:val="ListParagraph"/>
        <w:numPr>
          <w:ilvl w:val="0"/>
          <w:numId w:val="2"/>
        </w:numPr>
        <w:spacing w:before="240"/>
        <w:jc w:val="both"/>
        <w:rPr>
          <w:rFonts w:ascii="Century" w:hAnsi="Century" w:cs="Arial"/>
          <w:lang w:val="es-ES"/>
        </w:rPr>
      </w:pPr>
      <w:r w:rsidRPr="00D26CAA">
        <w:rPr>
          <w:rFonts w:ascii="Century" w:hAnsi="Century" w:cs="Arial"/>
          <w:b/>
          <w:u w:val="single"/>
          <w:lang w:val="es-ES"/>
        </w:rPr>
        <w:t xml:space="preserve">Garantice el uso </w:t>
      </w:r>
      <w:r w:rsidR="00EF3B3C" w:rsidRPr="00D26CAA">
        <w:rPr>
          <w:rFonts w:ascii="Century" w:hAnsi="Century" w:cs="Arial"/>
          <w:b/>
          <w:u w:val="single"/>
          <w:lang w:val="es-ES"/>
        </w:rPr>
        <w:t>eficiente de fondos federales:</w:t>
      </w:r>
      <w:r w:rsidR="00EF3B3C">
        <w:rPr>
          <w:rFonts w:ascii="Century" w:hAnsi="Century" w:cs="Arial"/>
          <w:lang w:val="es-ES"/>
        </w:rPr>
        <w:t xml:space="preserve"> El </w:t>
      </w:r>
      <w:r w:rsidR="005C61BA">
        <w:rPr>
          <w:rFonts w:ascii="Century" w:hAnsi="Century" w:cs="Arial"/>
          <w:lang w:val="es-ES"/>
        </w:rPr>
        <w:t xml:space="preserve">Negociado </w:t>
      </w:r>
      <w:r w:rsidR="00EF3B3C">
        <w:rPr>
          <w:rFonts w:ascii="Century" w:hAnsi="Century" w:cs="Arial"/>
          <w:lang w:val="es-ES"/>
        </w:rPr>
        <w:t xml:space="preserve">debe asegurarse de que los fondos federales se utilicen de manera eficiente y debe rechazar el traslado de costos a abonados en proyectos con fondos federales disponibles. </w:t>
      </w:r>
    </w:p>
    <w:p w14:paraId="70E9CAF4" w14:textId="7E600528" w:rsidR="00EF3B3C" w:rsidRPr="00EF3B3C" w:rsidRDefault="00EF3B3C" w:rsidP="00EF3B3C">
      <w:pPr>
        <w:pStyle w:val="ListParagraph"/>
        <w:numPr>
          <w:ilvl w:val="0"/>
          <w:numId w:val="2"/>
        </w:numPr>
        <w:spacing w:before="240"/>
        <w:jc w:val="both"/>
        <w:rPr>
          <w:rFonts w:ascii="Century" w:hAnsi="Century" w:cs="Arial"/>
          <w:lang w:val="es-ES"/>
        </w:rPr>
      </w:pPr>
      <w:r w:rsidRPr="00D26CAA">
        <w:rPr>
          <w:rFonts w:ascii="Century" w:hAnsi="Century" w:cs="Arial"/>
          <w:b/>
          <w:u w:val="single"/>
          <w:lang w:val="es-ES"/>
        </w:rPr>
        <w:t>Recha</w:t>
      </w:r>
      <w:r w:rsidR="008016CE" w:rsidRPr="00D26CAA">
        <w:rPr>
          <w:rFonts w:ascii="Century" w:hAnsi="Century" w:cs="Arial"/>
          <w:b/>
          <w:u w:val="single"/>
          <w:lang w:val="es-ES"/>
        </w:rPr>
        <w:t>ce</w:t>
      </w:r>
      <w:r w:rsidRPr="00D26CAA">
        <w:rPr>
          <w:rFonts w:ascii="Century" w:hAnsi="Century" w:cs="Arial"/>
          <w:b/>
          <w:u w:val="single"/>
          <w:lang w:val="es-ES"/>
        </w:rPr>
        <w:t xml:space="preserve"> gastos innecesarios y frívolos</w:t>
      </w:r>
      <w:r w:rsidR="008016CE" w:rsidRPr="00D26CAA">
        <w:rPr>
          <w:rFonts w:ascii="Century" w:hAnsi="Century" w:cs="Arial"/>
          <w:b/>
          <w:bCs/>
          <w:u w:val="single"/>
          <w:lang w:val="es-ES"/>
        </w:rPr>
        <w:t>:</w:t>
      </w:r>
      <w:r w:rsidR="00720AB6">
        <w:rPr>
          <w:rFonts w:ascii="Century" w:hAnsi="Century" w:cs="Arial"/>
          <w:lang w:val="es-ES"/>
        </w:rPr>
        <w:t xml:space="preserve"> </w:t>
      </w:r>
      <w:r w:rsidR="009E7523">
        <w:rPr>
          <w:rFonts w:ascii="Century" w:hAnsi="Century" w:cs="Arial"/>
          <w:lang w:val="es-ES"/>
        </w:rPr>
        <w:t xml:space="preserve">El Negociado debe </w:t>
      </w:r>
      <w:r w:rsidR="009F6874">
        <w:rPr>
          <w:rFonts w:ascii="Century" w:hAnsi="Century" w:cs="Arial"/>
          <w:lang w:val="es-ES"/>
        </w:rPr>
        <w:t>rechazar cualquier gasto</w:t>
      </w:r>
      <w:r w:rsidR="00A53FD3">
        <w:rPr>
          <w:rFonts w:ascii="Century" w:hAnsi="Century" w:cs="Arial"/>
          <w:lang w:val="es-ES"/>
        </w:rPr>
        <w:t xml:space="preserve"> </w:t>
      </w:r>
      <w:r w:rsidR="000A56EA">
        <w:rPr>
          <w:rFonts w:ascii="Century" w:hAnsi="Century" w:cs="Arial"/>
          <w:lang w:val="es-ES"/>
        </w:rPr>
        <w:t xml:space="preserve">que no </w:t>
      </w:r>
      <w:r w:rsidR="00F30EE8">
        <w:rPr>
          <w:rFonts w:ascii="Century" w:hAnsi="Century" w:cs="Arial"/>
          <w:lang w:val="es-ES"/>
        </w:rPr>
        <w:t>esté directamente relacionado con</w:t>
      </w:r>
      <w:r w:rsidR="00795684">
        <w:rPr>
          <w:rFonts w:ascii="Century" w:hAnsi="Century" w:cs="Arial"/>
          <w:lang w:val="es-ES"/>
        </w:rPr>
        <w:t xml:space="preserve"> </w:t>
      </w:r>
      <w:r w:rsidR="00BA56A0">
        <w:rPr>
          <w:rFonts w:ascii="Century" w:hAnsi="Century" w:cs="Arial"/>
          <w:lang w:val="es-ES"/>
        </w:rPr>
        <w:t>la confiabilidad del sistema</w:t>
      </w:r>
      <w:r w:rsidR="001E3B6E">
        <w:rPr>
          <w:rFonts w:ascii="Century" w:hAnsi="Century" w:cs="Arial"/>
          <w:lang w:val="es-ES"/>
        </w:rPr>
        <w:t>, que no</w:t>
      </w:r>
      <w:r w:rsidR="008C5F7F">
        <w:rPr>
          <w:rFonts w:ascii="Century" w:hAnsi="Century" w:cs="Arial"/>
          <w:lang w:val="es-ES"/>
        </w:rPr>
        <w:t xml:space="preserve"> sea </w:t>
      </w:r>
      <w:r w:rsidR="00FC5318">
        <w:rPr>
          <w:rFonts w:ascii="Century" w:hAnsi="Century" w:cs="Arial"/>
          <w:lang w:val="es-ES"/>
        </w:rPr>
        <w:t>para el beneficio</w:t>
      </w:r>
      <w:r w:rsidR="00C56CDC">
        <w:rPr>
          <w:rFonts w:ascii="Century" w:hAnsi="Century" w:cs="Arial"/>
          <w:lang w:val="es-ES"/>
        </w:rPr>
        <w:t xml:space="preserve"> inmediato</w:t>
      </w:r>
      <w:r w:rsidR="00FC5318">
        <w:rPr>
          <w:rFonts w:ascii="Century" w:hAnsi="Century" w:cs="Arial"/>
          <w:lang w:val="es-ES"/>
        </w:rPr>
        <w:t xml:space="preserve"> </w:t>
      </w:r>
      <w:r w:rsidR="00740F81">
        <w:rPr>
          <w:rFonts w:ascii="Century" w:hAnsi="Century" w:cs="Arial"/>
          <w:lang w:val="es-ES"/>
        </w:rPr>
        <w:t>de los abonados</w:t>
      </w:r>
      <w:r w:rsidR="00B65710">
        <w:rPr>
          <w:rFonts w:ascii="Century" w:hAnsi="Century" w:cs="Arial"/>
          <w:lang w:val="es-ES"/>
        </w:rPr>
        <w:t xml:space="preserve"> </w:t>
      </w:r>
      <w:r w:rsidR="009731C1">
        <w:rPr>
          <w:rFonts w:ascii="Century" w:hAnsi="Century" w:cs="Arial"/>
          <w:lang w:val="es-ES"/>
        </w:rPr>
        <w:t>y qu</w:t>
      </w:r>
      <w:r w:rsidR="00CA58AB">
        <w:rPr>
          <w:rFonts w:ascii="Century" w:hAnsi="Century" w:cs="Arial"/>
          <w:lang w:val="es-ES"/>
        </w:rPr>
        <w:t>e no sea cónsono con las metas de energía renovable establecidas por ley</w:t>
      </w:r>
      <w:r w:rsidR="007635D4">
        <w:rPr>
          <w:rFonts w:ascii="Century" w:hAnsi="Century" w:cs="Arial"/>
          <w:lang w:val="es-ES"/>
        </w:rPr>
        <w:t>.</w:t>
      </w:r>
      <w:r w:rsidR="00720AB6">
        <w:rPr>
          <w:rFonts w:ascii="Century" w:hAnsi="Century" w:cs="Arial"/>
          <w:lang w:val="es-ES"/>
        </w:rPr>
        <w:t xml:space="preserve"> </w:t>
      </w:r>
    </w:p>
    <w:p w14:paraId="13F2CC57" w14:textId="77D2C0C2" w:rsidR="00AE3AE5" w:rsidRDefault="00DE6E9C" w:rsidP="00820D4E">
      <w:pPr>
        <w:spacing w:before="240"/>
        <w:ind w:firstLine="360"/>
        <w:jc w:val="both"/>
        <w:rPr>
          <w:rFonts w:ascii="Century" w:hAnsi="Century" w:cs="Arial"/>
          <w:lang w:val="es-ES"/>
        </w:rPr>
      </w:pPr>
      <w:r>
        <w:rPr>
          <w:rFonts w:ascii="Century" w:hAnsi="Century" w:cs="Arial"/>
          <w:lang w:val="es-ES"/>
        </w:rPr>
        <w:lastRenderedPageBreak/>
        <w:t xml:space="preserve">Puerto Rico necesita tarifas justas, transparencia y un sistema energético que sea resiliente, confiable y asequible, no </w:t>
      </w:r>
      <w:r w:rsidR="3D002D81" w:rsidRPr="775ED390">
        <w:rPr>
          <w:rFonts w:ascii="Century" w:hAnsi="Century" w:cs="Arial"/>
          <w:lang w:val="es-ES"/>
        </w:rPr>
        <w:t>más</w:t>
      </w:r>
      <w:r>
        <w:rPr>
          <w:rFonts w:ascii="Century" w:hAnsi="Century" w:cs="Arial"/>
          <w:lang w:val="es-ES"/>
        </w:rPr>
        <w:t xml:space="preserve"> aumentos que agraven la crisis actual. La solución </w:t>
      </w:r>
      <w:r w:rsidR="00B85B86" w:rsidRPr="775ED390">
        <w:rPr>
          <w:rFonts w:ascii="Century" w:hAnsi="Century" w:cs="Arial"/>
          <w:lang w:val="es-ES"/>
        </w:rPr>
        <w:t>está</w:t>
      </w:r>
      <w:r>
        <w:rPr>
          <w:rFonts w:ascii="Century" w:hAnsi="Century" w:cs="Arial"/>
          <w:lang w:val="es-ES"/>
        </w:rPr>
        <w:t xml:space="preserve"> disponible: la descentralización a través de equipos solares en techos con almacenamiento, </w:t>
      </w:r>
      <w:r w:rsidR="00366CDD">
        <w:rPr>
          <w:rFonts w:ascii="Century" w:hAnsi="Century" w:cs="Arial"/>
          <w:lang w:val="es-ES"/>
        </w:rPr>
        <w:t xml:space="preserve">según </w:t>
      </w:r>
      <w:r w:rsidR="00820D4E">
        <w:rPr>
          <w:rFonts w:ascii="Century" w:hAnsi="Century" w:cs="Arial"/>
          <w:lang w:val="es-ES"/>
        </w:rPr>
        <w:t>la propuesta</w:t>
      </w:r>
      <w:r w:rsidR="00026A21">
        <w:rPr>
          <w:rFonts w:ascii="Century" w:hAnsi="Century" w:cs="Arial"/>
          <w:lang w:val="es-ES"/>
        </w:rPr>
        <w:t xml:space="preserve"> de Queremos Sol, el cual brinda un plan para la </w:t>
      </w:r>
      <w:r w:rsidR="00F07797" w:rsidRPr="00F07797">
        <w:rPr>
          <w:rFonts w:ascii="Century" w:hAnsi="Century" w:cs="Arial"/>
          <w:lang w:val="es-ES"/>
        </w:rPr>
        <w:t xml:space="preserve">transformación de nuestro sistema energético a fuentes renovables en una forma rápida, </w:t>
      </w:r>
      <w:r w:rsidR="00820D4E">
        <w:rPr>
          <w:rFonts w:ascii="Century" w:hAnsi="Century" w:cs="Arial"/>
          <w:lang w:val="es-ES"/>
        </w:rPr>
        <w:t>resiliente</w:t>
      </w:r>
      <w:r w:rsidR="00F07797" w:rsidRPr="00F07797">
        <w:rPr>
          <w:rFonts w:ascii="Century" w:hAnsi="Century" w:cs="Arial"/>
          <w:lang w:val="es-ES"/>
        </w:rPr>
        <w:t>, justa, y costo-efectiva.</w:t>
      </w:r>
      <w:r>
        <w:rPr>
          <w:rFonts w:ascii="Century" w:hAnsi="Century" w:cs="Arial"/>
          <w:lang w:val="es-ES"/>
        </w:rPr>
        <w:t xml:space="preserve"> </w:t>
      </w:r>
    </w:p>
    <w:p w14:paraId="7F659FF0" w14:textId="0406C391" w:rsidR="001F6C43" w:rsidRDefault="001F6C43" w:rsidP="00820D4E">
      <w:pPr>
        <w:spacing w:before="240"/>
        <w:ind w:firstLine="360"/>
        <w:jc w:val="both"/>
        <w:rPr>
          <w:rFonts w:ascii="Century" w:hAnsi="Century" w:cs="Arial"/>
          <w:lang w:val="es-ES"/>
        </w:rPr>
      </w:pPr>
      <w:r w:rsidRPr="00C61647">
        <w:rPr>
          <w:rFonts w:ascii="Century" w:hAnsi="Century" w:cs="Arial"/>
          <w:highlight w:val="yellow"/>
          <w:lang w:val="es-ES"/>
        </w:rPr>
        <w:t>[</w:t>
      </w:r>
      <w:r w:rsidR="00462CE7" w:rsidRPr="00C61647">
        <w:rPr>
          <w:rFonts w:ascii="Century" w:hAnsi="Century" w:cs="Arial"/>
          <w:highlight w:val="yellow"/>
          <w:lang w:val="es-ES"/>
        </w:rPr>
        <w:t>INSERTA</w:t>
      </w:r>
      <w:r w:rsidR="00C61647">
        <w:rPr>
          <w:rFonts w:ascii="Century" w:hAnsi="Century" w:cs="Arial"/>
          <w:highlight w:val="yellow"/>
          <w:lang w:val="es-ES"/>
        </w:rPr>
        <w:t>R</w:t>
      </w:r>
      <w:r w:rsidR="00462CE7" w:rsidRPr="00C61647">
        <w:rPr>
          <w:rFonts w:ascii="Century" w:hAnsi="Century" w:cs="Arial"/>
          <w:highlight w:val="yellow"/>
          <w:lang w:val="es-ES"/>
        </w:rPr>
        <w:t xml:space="preserve"> MÁS DETALLES SOBRE C</w:t>
      </w:r>
      <w:r w:rsidR="00C61647">
        <w:rPr>
          <w:rFonts w:ascii="Century" w:hAnsi="Century" w:cs="Arial"/>
          <w:highlight w:val="yellow"/>
          <w:lang w:val="es-ES"/>
        </w:rPr>
        <w:t>Ó</w:t>
      </w:r>
      <w:r w:rsidR="00462CE7" w:rsidRPr="00C61647">
        <w:rPr>
          <w:rFonts w:ascii="Century" w:hAnsi="Century" w:cs="Arial"/>
          <w:highlight w:val="yellow"/>
          <w:lang w:val="es-ES"/>
        </w:rPr>
        <w:t xml:space="preserve">MO UN AUMENTO EN LA TARIFA </w:t>
      </w:r>
      <w:r w:rsidR="00A2398C" w:rsidRPr="00C61647">
        <w:rPr>
          <w:rFonts w:ascii="Century" w:hAnsi="Century" w:cs="Arial"/>
          <w:highlight w:val="yellow"/>
          <w:lang w:val="es-ES"/>
        </w:rPr>
        <w:t xml:space="preserve">LE </w:t>
      </w:r>
      <w:r w:rsidR="005F6353" w:rsidRPr="00C61647">
        <w:rPr>
          <w:rFonts w:ascii="Century" w:hAnsi="Century" w:cs="Arial"/>
          <w:highlight w:val="yellow"/>
          <w:lang w:val="es-ES"/>
        </w:rPr>
        <w:t>IMPACTARÁ</w:t>
      </w:r>
      <w:r w:rsidR="00A2398C" w:rsidRPr="00C61647">
        <w:rPr>
          <w:rFonts w:ascii="Century" w:hAnsi="Century" w:cs="Arial"/>
          <w:highlight w:val="yellow"/>
          <w:lang w:val="es-ES"/>
        </w:rPr>
        <w:t xml:space="preserve"> A USTED Y A SU FAMILIA</w:t>
      </w:r>
      <w:r w:rsidR="005F6353" w:rsidRPr="00C61647">
        <w:rPr>
          <w:rFonts w:ascii="Century" w:hAnsi="Century" w:cs="Arial"/>
          <w:highlight w:val="yellow"/>
          <w:lang w:val="es-ES"/>
        </w:rPr>
        <w:t>].</w:t>
      </w:r>
    </w:p>
    <w:p w14:paraId="4A0D5407" w14:textId="0C0BAFEC" w:rsidR="005F6353" w:rsidRPr="00267339" w:rsidRDefault="005F6353" w:rsidP="00820D4E">
      <w:pPr>
        <w:spacing w:before="240"/>
        <w:ind w:firstLine="360"/>
        <w:jc w:val="both"/>
        <w:rPr>
          <w:rFonts w:ascii="Century" w:hAnsi="Century" w:cs="Arial"/>
          <w:lang w:val="es-ES"/>
        </w:rPr>
      </w:pPr>
      <w:r>
        <w:rPr>
          <w:rFonts w:ascii="Century" w:hAnsi="Century" w:cs="Arial"/>
          <w:lang w:val="es-ES"/>
        </w:rPr>
        <w:t>Gracias por su tiempo y consideración.</w:t>
      </w:r>
    </w:p>
    <w:p w14:paraId="66760C9D" w14:textId="37CA5B2C" w:rsidR="00AE3AE5" w:rsidRPr="00267339" w:rsidRDefault="00AE3AE5" w:rsidP="00A91F14">
      <w:pPr>
        <w:spacing w:before="240"/>
        <w:rPr>
          <w:rFonts w:ascii="Century" w:hAnsi="Century" w:cs="Arial"/>
          <w:lang w:val="es-ES"/>
        </w:rPr>
      </w:pPr>
      <w:r w:rsidRPr="00267339">
        <w:rPr>
          <w:rFonts w:ascii="Century" w:hAnsi="Century" w:cs="Arial"/>
          <w:lang w:val="es-ES"/>
        </w:rPr>
        <w:t>Respetuosamente,</w:t>
      </w:r>
    </w:p>
    <w:p w14:paraId="5B4D5812" w14:textId="116C9667" w:rsidR="00A633DF" w:rsidRPr="00C61647" w:rsidRDefault="00A633DF" w:rsidP="00A91F14">
      <w:pPr>
        <w:spacing w:before="240"/>
        <w:rPr>
          <w:rFonts w:ascii="Century" w:hAnsi="Century" w:cs="Arial"/>
          <w:highlight w:val="yellow"/>
          <w:u w:val="single"/>
          <w:lang w:val="es-ES"/>
        </w:rPr>
      </w:pPr>
      <w:r w:rsidRPr="00C61647">
        <w:rPr>
          <w:rFonts w:ascii="Century" w:hAnsi="Century" w:cs="Arial"/>
          <w:highlight w:val="yellow"/>
          <w:u w:val="single"/>
          <w:lang w:val="es-ES"/>
        </w:rPr>
        <w:t>Firma</w:t>
      </w:r>
    </w:p>
    <w:p w14:paraId="2DB9FC64" w14:textId="34988C5B" w:rsidR="00A91F14" w:rsidRPr="00267339" w:rsidRDefault="001E3E24" w:rsidP="00A91F14">
      <w:pPr>
        <w:spacing w:before="240"/>
        <w:rPr>
          <w:rFonts w:ascii="Century" w:hAnsi="Century"/>
          <w:lang w:val="es-ES"/>
        </w:rPr>
      </w:pPr>
      <w:r w:rsidRPr="00C61647">
        <w:rPr>
          <w:rFonts w:ascii="Century" w:hAnsi="Century" w:cs="Arial"/>
          <w:highlight w:val="yellow"/>
          <w:lang w:val="es-ES"/>
        </w:rPr>
        <w:t>Nombre</w:t>
      </w:r>
    </w:p>
    <w:p w14:paraId="4453BE95" w14:textId="641C9DFB" w:rsidR="005F6353" w:rsidRPr="001E3E24" w:rsidRDefault="005F6353" w:rsidP="00A91F14">
      <w:pPr>
        <w:spacing w:before="240"/>
        <w:rPr>
          <w:rFonts w:ascii="Century" w:hAnsi="Century" w:cs="Arial"/>
          <w:highlight w:val="yellow"/>
          <w:lang w:val="es-ES"/>
        </w:rPr>
      </w:pPr>
      <w:r w:rsidRPr="001E3E24">
        <w:rPr>
          <w:rFonts w:ascii="Century" w:hAnsi="Century" w:cs="Arial"/>
          <w:highlight w:val="yellow"/>
          <w:lang w:val="es-ES"/>
        </w:rPr>
        <w:t>Dirección</w:t>
      </w:r>
    </w:p>
    <w:p w14:paraId="59DA1BEA" w14:textId="6A7AB99C" w:rsidR="005F6353" w:rsidRPr="00267339" w:rsidRDefault="005F6353" w:rsidP="00A91F14">
      <w:pPr>
        <w:spacing w:before="240"/>
        <w:rPr>
          <w:rFonts w:ascii="Century" w:hAnsi="Century"/>
          <w:lang w:val="es-ES"/>
        </w:rPr>
      </w:pPr>
      <w:r w:rsidRPr="001E3E24">
        <w:rPr>
          <w:rFonts w:ascii="Century" w:hAnsi="Century" w:cs="Arial"/>
          <w:highlight w:val="yellow"/>
          <w:lang w:val="es-ES"/>
        </w:rPr>
        <w:t>Correo Electrónico</w:t>
      </w:r>
    </w:p>
    <w:p w14:paraId="4195FD35" w14:textId="77777777" w:rsidR="00A91F14" w:rsidRPr="00267339" w:rsidRDefault="00A91F14">
      <w:pPr>
        <w:rPr>
          <w:rFonts w:ascii="Century" w:hAnsi="Century"/>
          <w:lang w:val="es-ES"/>
        </w:rPr>
      </w:pPr>
    </w:p>
    <w:p w14:paraId="051910B9" w14:textId="77777777" w:rsidR="00A91F14" w:rsidRPr="00267339" w:rsidRDefault="00A91F14">
      <w:pPr>
        <w:rPr>
          <w:rFonts w:ascii="Century" w:hAnsi="Century"/>
          <w:lang w:val="es-ES"/>
        </w:rPr>
      </w:pPr>
    </w:p>
    <w:sectPr w:rsidR="00A91F14" w:rsidRPr="002673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8072C" w14:textId="77777777" w:rsidR="00D72F9C" w:rsidRDefault="00D72F9C" w:rsidP="00A91F14">
      <w:pPr>
        <w:spacing w:after="0" w:line="240" w:lineRule="auto"/>
      </w:pPr>
      <w:r>
        <w:separator/>
      </w:r>
    </w:p>
  </w:endnote>
  <w:endnote w:type="continuationSeparator" w:id="0">
    <w:p w14:paraId="1F8DCD8B" w14:textId="77777777" w:rsidR="00D72F9C" w:rsidRDefault="00D72F9C" w:rsidP="00A9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2DA33" w14:textId="77777777" w:rsidR="006D0F32" w:rsidRDefault="006D0F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566905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DC86CF0" w14:textId="38C05907" w:rsidR="00A91F14" w:rsidRPr="00E069FA" w:rsidRDefault="00A91F14">
        <w:pPr>
          <w:pStyle w:val="Footer"/>
          <w:jc w:val="center"/>
        </w:pPr>
        <w:r w:rsidRPr="0036134A">
          <w:rPr>
            <w:rFonts w:ascii="Century" w:hAnsi="Century"/>
          </w:rPr>
          <w:fldChar w:fldCharType="begin"/>
        </w:r>
        <w:r w:rsidRPr="0036134A">
          <w:rPr>
            <w:rFonts w:ascii="Century" w:hAnsi="Century"/>
          </w:rPr>
          <w:instrText xml:space="preserve"> PAGE   \* MERGEFORMAT </w:instrText>
        </w:r>
        <w:r w:rsidRPr="0036134A">
          <w:rPr>
            <w:rFonts w:ascii="Century" w:hAnsi="Century"/>
          </w:rPr>
          <w:fldChar w:fldCharType="separate"/>
        </w:r>
        <w:r w:rsidRPr="0036134A">
          <w:rPr>
            <w:rFonts w:ascii="Century" w:hAnsi="Century"/>
          </w:rPr>
          <w:t>2</w:t>
        </w:r>
        <w:r w:rsidRPr="0036134A">
          <w:rPr>
            <w:rFonts w:ascii="Century" w:hAnsi="Century"/>
          </w:rPr>
          <w:fldChar w:fldCharType="end"/>
        </w:r>
      </w:p>
    </w:sdtContent>
  </w:sdt>
  <w:p w14:paraId="0198CEF1" w14:textId="77777777" w:rsidR="00A91F14" w:rsidRDefault="00A91F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C29E6" w14:textId="77777777" w:rsidR="006D0F32" w:rsidRDefault="006D0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EB7C0" w14:textId="77777777" w:rsidR="00D72F9C" w:rsidRDefault="00D72F9C" w:rsidP="00A91F14">
      <w:pPr>
        <w:spacing w:after="0" w:line="240" w:lineRule="auto"/>
      </w:pPr>
      <w:r>
        <w:separator/>
      </w:r>
    </w:p>
  </w:footnote>
  <w:footnote w:type="continuationSeparator" w:id="0">
    <w:p w14:paraId="2A96F100" w14:textId="77777777" w:rsidR="00D72F9C" w:rsidRDefault="00D72F9C" w:rsidP="00A91F14">
      <w:pPr>
        <w:spacing w:after="0" w:line="240" w:lineRule="auto"/>
      </w:pPr>
      <w:r>
        <w:continuationSeparator/>
      </w:r>
    </w:p>
  </w:footnote>
  <w:footnote w:id="1">
    <w:p w14:paraId="37FB97F4" w14:textId="1763CB17" w:rsidR="00AC4DBF" w:rsidRPr="00A3544C" w:rsidRDefault="00AC4DBF">
      <w:pPr>
        <w:pStyle w:val="FootnoteText"/>
        <w:rPr>
          <w:rFonts w:ascii="Century" w:hAnsi="Century"/>
        </w:rPr>
      </w:pPr>
      <w:r w:rsidRPr="00A3544C">
        <w:rPr>
          <w:rStyle w:val="FootnoteReference"/>
          <w:rFonts w:ascii="Century" w:hAnsi="Century"/>
        </w:rPr>
        <w:footnoteRef/>
      </w:r>
      <w:r w:rsidRPr="00A3544C">
        <w:rPr>
          <w:rFonts w:ascii="Century" w:hAnsi="Century"/>
        </w:rPr>
        <w:t xml:space="preserve"> </w:t>
      </w:r>
      <w:r w:rsidR="00A3544C" w:rsidRPr="00A3544C">
        <w:rPr>
          <w:rFonts w:ascii="Century" w:hAnsi="Century"/>
          <w:i/>
          <w:iCs/>
        </w:rPr>
        <w:t>Low-Income Energy Affordability Data (LEAD) Tool</w:t>
      </w:r>
      <w:r w:rsidR="00A3544C" w:rsidRPr="00A3544C">
        <w:rPr>
          <w:rFonts w:ascii="Century" w:hAnsi="Century"/>
        </w:rPr>
        <w:t xml:space="preserve">, U.S. Dep’t of Energy, Office of State and Community Energy Programs, </w:t>
      </w:r>
      <w:hyperlink r:id="rId1" w:tgtFrame="_new" w:history="1">
        <w:r w:rsidR="00A3544C" w:rsidRPr="00A3544C">
          <w:rPr>
            <w:rStyle w:val="Hyperlink"/>
            <w:rFonts w:ascii="Century" w:hAnsi="Century"/>
          </w:rPr>
          <w:t>https://www.energy.gov/scep/low-income-energy-affordability-data-lead-tool</w:t>
        </w:r>
      </w:hyperlink>
      <w:r w:rsidR="00A3544C" w:rsidRPr="00A3544C">
        <w:rPr>
          <w:rFonts w:ascii="Century" w:hAnsi="Century"/>
        </w:rPr>
        <w:t xml:space="preserve"> (</w:t>
      </w:r>
      <w:r w:rsidR="00C14585" w:rsidRPr="00C14585">
        <w:rPr>
          <w:rFonts w:ascii="Century" w:hAnsi="Century"/>
        </w:rPr>
        <w:t xml:space="preserve">última visita </w:t>
      </w:r>
      <w:r w:rsidR="00C14585">
        <w:rPr>
          <w:rFonts w:ascii="Century" w:hAnsi="Century"/>
        </w:rPr>
        <w:t>13 de enero de 2026</w:t>
      </w:r>
      <w:r w:rsidR="00A3544C" w:rsidRPr="00A3544C">
        <w:rPr>
          <w:rFonts w:ascii="Century" w:hAnsi="Century"/>
        </w:rPr>
        <w:t>).</w:t>
      </w:r>
    </w:p>
  </w:footnote>
  <w:footnote w:id="2">
    <w:p w14:paraId="5E8DCC38" w14:textId="71032DEE" w:rsidR="00050E8E" w:rsidRPr="009739C1" w:rsidRDefault="00050E8E">
      <w:pPr>
        <w:pStyle w:val="FootnoteText"/>
        <w:rPr>
          <w:rFonts w:ascii="Century" w:hAnsi="Century"/>
          <w:lang w:val="es-PR"/>
        </w:rPr>
      </w:pPr>
      <w:r w:rsidRPr="0029366C">
        <w:rPr>
          <w:rStyle w:val="FootnoteReference"/>
          <w:rFonts w:ascii="Century" w:hAnsi="Century"/>
        </w:rPr>
        <w:footnoteRef/>
      </w:r>
      <w:r w:rsidRPr="009739C1">
        <w:rPr>
          <w:rFonts w:ascii="Century" w:hAnsi="Century"/>
          <w:lang w:val="es-PR"/>
        </w:rPr>
        <w:t xml:space="preserve"> </w:t>
      </w:r>
      <w:r w:rsidR="003529E3" w:rsidRPr="009739C1">
        <w:rPr>
          <w:rFonts w:ascii="Century" w:hAnsi="Century"/>
          <w:lang w:val="es-PR"/>
        </w:rPr>
        <w:t xml:space="preserve"> Tom Sanzillo, </w:t>
      </w:r>
      <w:r w:rsidR="003529E3" w:rsidRPr="009739C1">
        <w:rPr>
          <w:rFonts w:ascii="Century" w:hAnsi="Century"/>
          <w:i/>
          <w:iCs/>
          <w:lang w:val="es-PR"/>
        </w:rPr>
        <w:t>IEEFA Puerto Rico: PREPA Debt Deal Hurts Consumers, Dodges Underlying Crisis</w:t>
      </w:r>
      <w:r w:rsidR="003529E3" w:rsidRPr="009739C1">
        <w:rPr>
          <w:rFonts w:ascii="Century" w:hAnsi="Century"/>
          <w:lang w:val="es-PR"/>
        </w:rPr>
        <w:t>, IEEFA (</w:t>
      </w:r>
      <w:r w:rsidR="009739C1">
        <w:rPr>
          <w:rFonts w:ascii="Century" w:hAnsi="Century"/>
          <w:lang w:val="es-PR"/>
        </w:rPr>
        <w:t>19 de diciembre de 2019</w:t>
      </w:r>
      <w:r w:rsidR="003529E3" w:rsidRPr="009739C1">
        <w:rPr>
          <w:rFonts w:ascii="Century" w:hAnsi="Century"/>
          <w:lang w:val="es-PR"/>
        </w:rPr>
        <w:t xml:space="preserve">), </w:t>
      </w:r>
      <w:hyperlink r:id="rId2" w:tgtFrame="_new" w:history="1">
        <w:r w:rsidR="003529E3" w:rsidRPr="009739C1">
          <w:rPr>
            <w:rStyle w:val="Hyperlink"/>
            <w:rFonts w:ascii="Century" w:hAnsi="Century"/>
            <w:lang w:val="es-PR"/>
          </w:rPr>
          <w:t>https://ieefa.org/resources/ieefa-puerto-rico-prepa-debt-deal-hurts-consumers-dodges-underlying-crisis</w:t>
        </w:r>
      </w:hyperlink>
      <w:r w:rsidR="003529E3" w:rsidRPr="009739C1">
        <w:rPr>
          <w:rFonts w:ascii="Century" w:hAnsi="Century"/>
          <w:lang w:val="es-PR"/>
        </w:rPr>
        <w:t xml:space="preserve"> (</w:t>
      </w:r>
      <w:r w:rsidR="009739C1" w:rsidRPr="009739C1">
        <w:rPr>
          <w:rFonts w:ascii="Century" w:hAnsi="Century"/>
          <w:lang w:val="es-PR"/>
        </w:rPr>
        <w:t>última visita 13 de enero de 2026</w:t>
      </w:r>
      <w:r w:rsidR="003529E3" w:rsidRPr="009739C1">
        <w:rPr>
          <w:rFonts w:ascii="Century" w:hAnsi="Century"/>
          <w:lang w:val="es-PR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15032" w14:textId="77777777" w:rsidR="006D0F32" w:rsidRDefault="006D0F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A0F1" w14:textId="274FF1D2" w:rsidR="006D0F32" w:rsidRDefault="006D0F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2596" w14:textId="77777777" w:rsidR="006D0F32" w:rsidRDefault="006D0F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D0F00"/>
    <w:multiLevelType w:val="hybridMultilevel"/>
    <w:tmpl w:val="5D1C5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17228"/>
    <w:multiLevelType w:val="hybridMultilevel"/>
    <w:tmpl w:val="D6D8D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377324">
    <w:abstractNumId w:val="0"/>
  </w:num>
  <w:num w:numId="2" w16cid:durableId="22984597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rena Velez">
    <w15:presenceInfo w15:providerId="AD" w15:userId="S::lvelez@earthjustice.org::0e29e624-9241-4a65-90a4-48f16adca1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F14"/>
    <w:rsid w:val="0000096F"/>
    <w:rsid w:val="00006B8B"/>
    <w:rsid w:val="00011415"/>
    <w:rsid w:val="00014BD2"/>
    <w:rsid w:val="00017AE7"/>
    <w:rsid w:val="00021928"/>
    <w:rsid w:val="00026A21"/>
    <w:rsid w:val="00031B4B"/>
    <w:rsid w:val="00031C29"/>
    <w:rsid w:val="00035081"/>
    <w:rsid w:val="000422BB"/>
    <w:rsid w:val="00043ABD"/>
    <w:rsid w:val="000452DB"/>
    <w:rsid w:val="00050E8E"/>
    <w:rsid w:val="00052E5F"/>
    <w:rsid w:val="00057324"/>
    <w:rsid w:val="00061A45"/>
    <w:rsid w:val="00066B5E"/>
    <w:rsid w:val="00080D97"/>
    <w:rsid w:val="0008258A"/>
    <w:rsid w:val="00083CCC"/>
    <w:rsid w:val="00094AAC"/>
    <w:rsid w:val="000A0403"/>
    <w:rsid w:val="000A2965"/>
    <w:rsid w:val="000A56EA"/>
    <w:rsid w:val="000A6DB0"/>
    <w:rsid w:val="000B3C69"/>
    <w:rsid w:val="000B4261"/>
    <w:rsid w:val="000B5F83"/>
    <w:rsid w:val="000C4817"/>
    <w:rsid w:val="000C67AA"/>
    <w:rsid w:val="000C7AB1"/>
    <w:rsid w:val="000D12E7"/>
    <w:rsid w:val="000D1CCB"/>
    <w:rsid w:val="000D2B8A"/>
    <w:rsid w:val="000E6102"/>
    <w:rsid w:val="000F2ADE"/>
    <w:rsid w:val="000F3F0E"/>
    <w:rsid w:val="000F5D9A"/>
    <w:rsid w:val="001037AD"/>
    <w:rsid w:val="00105B5A"/>
    <w:rsid w:val="00106BF5"/>
    <w:rsid w:val="00106F52"/>
    <w:rsid w:val="001141D2"/>
    <w:rsid w:val="00116F11"/>
    <w:rsid w:val="00120B75"/>
    <w:rsid w:val="00127A3B"/>
    <w:rsid w:val="001301AF"/>
    <w:rsid w:val="00133399"/>
    <w:rsid w:val="00135473"/>
    <w:rsid w:val="00135796"/>
    <w:rsid w:val="00135CBD"/>
    <w:rsid w:val="00140337"/>
    <w:rsid w:val="001455D7"/>
    <w:rsid w:val="00145C1C"/>
    <w:rsid w:val="001507C8"/>
    <w:rsid w:val="00154C62"/>
    <w:rsid w:val="00162DB8"/>
    <w:rsid w:val="00165A82"/>
    <w:rsid w:val="00166BCA"/>
    <w:rsid w:val="00170D41"/>
    <w:rsid w:val="00183EFB"/>
    <w:rsid w:val="0019024A"/>
    <w:rsid w:val="0019043D"/>
    <w:rsid w:val="001A174A"/>
    <w:rsid w:val="001A6870"/>
    <w:rsid w:val="001A76D6"/>
    <w:rsid w:val="001B5ACA"/>
    <w:rsid w:val="001D119F"/>
    <w:rsid w:val="001D6DA6"/>
    <w:rsid w:val="001D7363"/>
    <w:rsid w:val="001E0F03"/>
    <w:rsid w:val="001E3B6E"/>
    <w:rsid w:val="001E3E24"/>
    <w:rsid w:val="001E7254"/>
    <w:rsid w:val="001F085B"/>
    <w:rsid w:val="001F0F33"/>
    <w:rsid w:val="001F606D"/>
    <w:rsid w:val="001F6C43"/>
    <w:rsid w:val="002015BE"/>
    <w:rsid w:val="002040B6"/>
    <w:rsid w:val="0020466E"/>
    <w:rsid w:val="002121CB"/>
    <w:rsid w:val="0021276C"/>
    <w:rsid w:val="00235C06"/>
    <w:rsid w:val="002361D2"/>
    <w:rsid w:val="002414E1"/>
    <w:rsid w:val="00246998"/>
    <w:rsid w:val="00246AE0"/>
    <w:rsid w:val="00262C92"/>
    <w:rsid w:val="00264700"/>
    <w:rsid w:val="00267339"/>
    <w:rsid w:val="00274956"/>
    <w:rsid w:val="00281DD7"/>
    <w:rsid w:val="0028784A"/>
    <w:rsid w:val="00287F04"/>
    <w:rsid w:val="00292308"/>
    <w:rsid w:val="0029366C"/>
    <w:rsid w:val="002B4915"/>
    <w:rsid w:val="002B5BD1"/>
    <w:rsid w:val="002C13A0"/>
    <w:rsid w:val="002C14DE"/>
    <w:rsid w:val="002C29B4"/>
    <w:rsid w:val="002C3E65"/>
    <w:rsid w:val="002C48D4"/>
    <w:rsid w:val="002C7305"/>
    <w:rsid w:val="002C7A52"/>
    <w:rsid w:val="002D0468"/>
    <w:rsid w:val="002D469E"/>
    <w:rsid w:val="002E655B"/>
    <w:rsid w:val="002E7E35"/>
    <w:rsid w:val="002F1890"/>
    <w:rsid w:val="002F3ADD"/>
    <w:rsid w:val="002F3EA2"/>
    <w:rsid w:val="00301999"/>
    <w:rsid w:val="003040EB"/>
    <w:rsid w:val="00304C06"/>
    <w:rsid w:val="00305E1A"/>
    <w:rsid w:val="003068F2"/>
    <w:rsid w:val="003162D2"/>
    <w:rsid w:val="003176A8"/>
    <w:rsid w:val="00327024"/>
    <w:rsid w:val="00327E41"/>
    <w:rsid w:val="003314B7"/>
    <w:rsid w:val="00344110"/>
    <w:rsid w:val="00345144"/>
    <w:rsid w:val="00345879"/>
    <w:rsid w:val="003529E3"/>
    <w:rsid w:val="00357339"/>
    <w:rsid w:val="003603C8"/>
    <w:rsid w:val="0036134A"/>
    <w:rsid w:val="00366CDD"/>
    <w:rsid w:val="00371E8A"/>
    <w:rsid w:val="00384D68"/>
    <w:rsid w:val="00386613"/>
    <w:rsid w:val="003926D4"/>
    <w:rsid w:val="003A2B7D"/>
    <w:rsid w:val="003A43B7"/>
    <w:rsid w:val="003A5AC8"/>
    <w:rsid w:val="003B2C1B"/>
    <w:rsid w:val="003B48AB"/>
    <w:rsid w:val="003B62F1"/>
    <w:rsid w:val="003C67CD"/>
    <w:rsid w:val="003D211A"/>
    <w:rsid w:val="003D4C58"/>
    <w:rsid w:val="003D55E7"/>
    <w:rsid w:val="003E704A"/>
    <w:rsid w:val="003F021A"/>
    <w:rsid w:val="003F0987"/>
    <w:rsid w:val="003F0A2C"/>
    <w:rsid w:val="003F0D48"/>
    <w:rsid w:val="003F3169"/>
    <w:rsid w:val="003F4189"/>
    <w:rsid w:val="00411296"/>
    <w:rsid w:val="00411E2C"/>
    <w:rsid w:val="00415558"/>
    <w:rsid w:val="00421C1B"/>
    <w:rsid w:val="004551C2"/>
    <w:rsid w:val="00456F35"/>
    <w:rsid w:val="00462CE7"/>
    <w:rsid w:val="00467469"/>
    <w:rsid w:val="00470B85"/>
    <w:rsid w:val="0047486E"/>
    <w:rsid w:val="00480E57"/>
    <w:rsid w:val="004856FF"/>
    <w:rsid w:val="00495370"/>
    <w:rsid w:val="00497D76"/>
    <w:rsid w:val="00497FD8"/>
    <w:rsid w:val="004A0D29"/>
    <w:rsid w:val="004B06A8"/>
    <w:rsid w:val="004B12B8"/>
    <w:rsid w:val="004B4665"/>
    <w:rsid w:val="004C75A6"/>
    <w:rsid w:val="004D6FD6"/>
    <w:rsid w:val="004D7A70"/>
    <w:rsid w:val="004E28AA"/>
    <w:rsid w:val="004E42C2"/>
    <w:rsid w:val="004E5969"/>
    <w:rsid w:val="004F3521"/>
    <w:rsid w:val="004F3A9A"/>
    <w:rsid w:val="005048BE"/>
    <w:rsid w:val="005063A5"/>
    <w:rsid w:val="0051001A"/>
    <w:rsid w:val="00510976"/>
    <w:rsid w:val="00510E9C"/>
    <w:rsid w:val="005229B3"/>
    <w:rsid w:val="00532D91"/>
    <w:rsid w:val="00536789"/>
    <w:rsid w:val="00536E82"/>
    <w:rsid w:val="00540322"/>
    <w:rsid w:val="00540AAC"/>
    <w:rsid w:val="00542739"/>
    <w:rsid w:val="00543ED5"/>
    <w:rsid w:val="00545F0B"/>
    <w:rsid w:val="00547A08"/>
    <w:rsid w:val="005505AF"/>
    <w:rsid w:val="005550BE"/>
    <w:rsid w:val="005563F8"/>
    <w:rsid w:val="00562856"/>
    <w:rsid w:val="00562913"/>
    <w:rsid w:val="00563289"/>
    <w:rsid w:val="00581FBD"/>
    <w:rsid w:val="005922B5"/>
    <w:rsid w:val="00596E50"/>
    <w:rsid w:val="005A140D"/>
    <w:rsid w:val="005A2D88"/>
    <w:rsid w:val="005A4A56"/>
    <w:rsid w:val="005A4E37"/>
    <w:rsid w:val="005A7275"/>
    <w:rsid w:val="005A77F8"/>
    <w:rsid w:val="005B1080"/>
    <w:rsid w:val="005B1279"/>
    <w:rsid w:val="005B1D7F"/>
    <w:rsid w:val="005C1B3A"/>
    <w:rsid w:val="005C423C"/>
    <w:rsid w:val="005C61BA"/>
    <w:rsid w:val="005C742F"/>
    <w:rsid w:val="005E23EB"/>
    <w:rsid w:val="005E2BE3"/>
    <w:rsid w:val="005E3C44"/>
    <w:rsid w:val="005F3464"/>
    <w:rsid w:val="005F3E1E"/>
    <w:rsid w:val="005F483D"/>
    <w:rsid w:val="005F6353"/>
    <w:rsid w:val="005F6FD7"/>
    <w:rsid w:val="00601081"/>
    <w:rsid w:val="00601563"/>
    <w:rsid w:val="00615549"/>
    <w:rsid w:val="00615F9D"/>
    <w:rsid w:val="00620BC4"/>
    <w:rsid w:val="006270D9"/>
    <w:rsid w:val="00630CFA"/>
    <w:rsid w:val="006313D8"/>
    <w:rsid w:val="0063338E"/>
    <w:rsid w:val="0063416E"/>
    <w:rsid w:val="00641408"/>
    <w:rsid w:val="0064728A"/>
    <w:rsid w:val="00650BF6"/>
    <w:rsid w:val="00650E15"/>
    <w:rsid w:val="0065481D"/>
    <w:rsid w:val="00663239"/>
    <w:rsid w:val="00664618"/>
    <w:rsid w:val="00674788"/>
    <w:rsid w:val="00675793"/>
    <w:rsid w:val="00675890"/>
    <w:rsid w:val="0068247E"/>
    <w:rsid w:val="00682A88"/>
    <w:rsid w:val="00686C50"/>
    <w:rsid w:val="00690CC8"/>
    <w:rsid w:val="006A0016"/>
    <w:rsid w:val="006A39AF"/>
    <w:rsid w:val="006B400E"/>
    <w:rsid w:val="006B4872"/>
    <w:rsid w:val="006B7717"/>
    <w:rsid w:val="006B7888"/>
    <w:rsid w:val="006C22E4"/>
    <w:rsid w:val="006D0F32"/>
    <w:rsid w:val="006D1FCA"/>
    <w:rsid w:val="006D2042"/>
    <w:rsid w:val="006D2CBD"/>
    <w:rsid w:val="006E72D5"/>
    <w:rsid w:val="006E77D9"/>
    <w:rsid w:val="006F610A"/>
    <w:rsid w:val="007034EB"/>
    <w:rsid w:val="007041E9"/>
    <w:rsid w:val="00705173"/>
    <w:rsid w:val="00705FAC"/>
    <w:rsid w:val="007105EB"/>
    <w:rsid w:val="007150BC"/>
    <w:rsid w:val="00720AB6"/>
    <w:rsid w:val="0072304D"/>
    <w:rsid w:val="0072653F"/>
    <w:rsid w:val="007308B1"/>
    <w:rsid w:val="007316F8"/>
    <w:rsid w:val="007322E7"/>
    <w:rsid w:val="00734EEB"/>
    <w:rsid w:val="00740F81"/>
    <w:rsid w:val="00747DC6"/>
    <w:rsid w:val="0075014E"/>
    <w:rsid w:val="007511B1"/>
    <w:rsid w:val="007635D4"/>
    <w:rsid w:val="00763DE2"/>
    <w:rsid w:val="00763EAF"/>
    <w:rsid w:val="0076573D"/>
    <w:rsid w:val="00773D24"/>
    <w:rsid w:val="00775286"/>
    <w:rsid w:val="007752E7"/>
    <w:rsid w:val="00776913"/>
    <w:rsid w:val="00776A28"/>
    <w:rsid w:val="00781625"/>
    <w:rsid w:val="0078521C"/>
    <w:rsid w:val="00786D84"/>
    <w:rsid w:val="00787E61"/>
    <w:rsid w:val="007911E6"/>
    <w:rsid w:val="00793941"/>
    <w:rsid w:val="00795684"/>
    <w:rsid w:val="007A03BB"/>
    <w:rsid w:val="007A30F8"/>
    <w:rsid w:val="007B297B"/>
    <w:rsid w:val="007B2A7B"/>
    <w:rsid w:val="007B35E3"/>
    <w:rsid w:val="007C0F7C"/>
    <w:rsid w:val="007C4FC8"/>
    <w:rsid w:val="007C6472"/>
    <w:rsid w:val="007D3764"/>
    <w:rsid w:val="007D63FA"/>
    <w:rsid w:val="007E3B05"/>
    <w:rsid w:val="007F0287"/>
    <w:rsid w:val="007F20E2"/>
    <w:rsid w:val="007F348B"/>
    <w:rsid w:val="007F4D27"/>
    <w:rsid w:val="007F66DB"/>
    <w:rsid w:val="007F6961"/>
    <w:rsid w:val="007F7875"/>
    <w:rsid w:val="0080165D"/>
    <w:rsid w:val="008016CE"/>
    <w:rsid w:val="00801B54"/>
    <w:rsid w:val="0080231B"/>
    <w:rsid w:val="0080444B"/>
    <w:rsid w:val="0080512A"/>
    <w:rsid w:val="00810BC2"/>
    <w:rsid w:val="00814DBC"/>
    <w:rsid w:val="00820D4E"/>
    <w:rsid w:val="00823B5C"/>
    <w:rsid w:val="00830A32"/>
    <w:rsid w:val="00832926"/>
    <w:rsid w:val="00833338"/>
    <w:rsid w:val="008338B8"/>
    <w:rsid w:val="00836860"/>
    <w:rsid w:val="00837E8D"/>
    <w:rsid w:val="008474DC"/>
    <w:rsid w:val="008618D6"/>
    <w:rsid w:val="0086353C"/>
    <w:rsid w:val="00863892"/>
    <w:rsid w:val="0086661E"/>
    <w:rsid w:val="00870ADF"/>
    <w:rsid w:val="00875915"/>
    <w:rsid w:val="00876CE0"/>
    <w:rsid w:val="0087778F"/>
    <w:rsid w:val="00877AF3"/>
    <w:rsid w:val="008860A3"/>
    <w:rsid w:val="0088639F"/>
    <w:rsid w:val="008A03E0"/>
    <w:rsid w:val="008A4A9C"/>
    <w:rsid w:val="008B47D2"/>
    <w:rsid w:val="008B4853"/>
    <w:rsid w:val="008B742A"/>
    <w:rsid w:val="008C221B"/>
    <w:rsid w:val="008C2740"/>
    <w:rsid w:val="008C5F7F"/>
    <w:rsid w:val="008E4F7C"/>
    <w:rsid w:val="008F49B1"/>
    <w:rsid w:val="008F685F"/>
    <w:rsid w:val="0090041B"/>
    <w:rsid w:val="009028EB"/>
    <w:rsid w:val="009043DB"/>
    <w:rsid w:val="009273A3"/>
    <w:rsid w:val="009316EF"/>
    <w:rsid w:val="00933E8D"/>
    <w:rsid w:val="009414FA"/>
    <w:rsid w:val="0094291E"/>
    <w:rsid w:val="009458F3"/>
    <w:rsid w:val="00945D22"/>
    <w:rsid w:val="00947C28"/>
    <w:rsid w:val="009511CA"/>
    <w:rsid w:val="009623FB"/>
    <w:rsid w:val="009658F6"/>
    <w:rsid w:val="00970C23"/>
    <w:rsid w:val="009721B5"/>
    <w:rsid w:val="009731C1"/>
    <w:rsid w:val="009739C1"/>
    <w:rsid w:val="00974299"/>
    <w:rsid w:val="0097710F"/>
    <w:rsid w:val="00981C4E"/>
    <w:rsid w:val="00997158"/>
    <w:rsid w:val="009A3E4B"/>
    <w:rsid w:val="009A5C8D"/>
    <w:rsid w:val="009C7A7D"/>
    <w:rsid w:val="009D1539"/>
    <w:rsid w:val="009D47AC"/>
    <w:rsid w:val="009D55C3"/>
    <w:rsid w:val="009E0ECF"/>
    <w:rsid w:val="009E32A5"/>
    <w:rsid w:val="009E4034"/>
    <w:rsid w:val="009E5C83"/>
    <w:rsid w:val="009E7523"/>
    <w:rsid w:val="009F3DA0"/>
    <w:rsid w:val="009F6874"/>
    <w:rsid w:val="009F7A1D"/>
    <w:rsid w:val="00A0388D"/>
    <w:rsid w:val="00A07D24"/>
    <w:rsid w:val="00A07F95"/>
    <w:rsid w:val="00A1062D"/>
    <w:rsid w:val="00A13390"/>
    <w:rsid w:val="00A15BF1"/>
    <w:rsid w:val="00A223B7"/>
    <w:rsid w:val="00A2379D"/>
    <w:rsid w:val="00A2398C"/>
    <w:rsid w:val="00A25AAC"/>
    <w:rsid w:val="00A25F9A"/>
    <w:rsid w:val="00A3356F"/>
    <w:rsid w:val="00A3544C"/>
    <w:rsid w:val="00A44139"/>
    <w:rsid w:val="00A46E66"/>
    <w:rsid w:val="00A4716A"/>
    <w:rsid w:val="00A52B25"/>
    <w:rsid w:val="00A53FD3"/>
    <w:rsid w:val="00A54AA4"/>
    <w:rsid w:val="00A55949"/>
    <w:rsid w:val="00A633DF"/>
    <w:rsid w:val="00A64118"/>
    <w:rsid w:val="00A654B5"/>
    <w:rsid w:val="00A671A4"/>
    <w:rsid w:val="00A67465"/>
    <w:rsid w:val="00A70FE9"/>
    <w:rsid w:val="00A72816"/>
    <w:rsid w:val="00A741B2"/>
    <w:rsid w:val="00A7575A"/>
    <w:rsid w:val="00A814E9"/>
    <w:rsid w:val="00A91F14"/>
    <w:rsid w:val="00A946E5"/>
    <w:rsid w:val="00A955E2"/>
    <w:rsid w:val="00A96749"/>
    <w:rsid w:val="00AA0AD6"/>
    <w:rsid w:val="00AA3D7B"/>
    <w:rsid w:val="00AB1C8D"/>
    <w:rsid w:val="00AB5425"/>
    <w:rsid w:val="00AB7951"/>
    <w:rsid w:val="00AB7B84"/>
    <w:rsid w:val="00AC3943"/>
    <w:rsid w:val="00AC4DBF"/>
    <w:rsid w:val="00AC5D59"/>
    <w:rsid w:val="00AE221D"/>
    <w:rsid w:val="00AE3AE5"/>
    <w:rsid w:val="00AF03A8"/>
    <w:rsid w:val="00AF269F"/>
    <w:rsid w:val="00AF2C23"/>
    <w:rsid w:val="00AF4024"/>
    <w:rsid w:val="00AF4A2A"/>
    <w:rsid w:val="00AF5B68"/>
    <w:rsid w:val="00AF7BFD"/>
    <w:rsid w:val="00B04B46"/>
    <w:rsid w:val="00B04ED8"/>
    <w:rsid w:val="00B10537"/>
    <w:rsid w:val="00B119FD"/>
    <w:rsid w:val="00B12A7D"/>
    <w:rsid w:val="00B218F5"/>
    <w:rsid w:val="00B27589"/>
    <w:rsid w:val="00B31227"/>
    <w:rsid w:val="00B33C72"/>
    <w:rsid w:val="00B36071"/>
    <w:rsid w:val="00B36E48"/>
    <w:rsid w:val="00B479DC"/>
    <w:rsid w:val="00B5204C"/>
    <w:rsid w:val="00B60FCB"/>
    <w:rsid w:val="00B61CDB"/>
    <w:rsid w:val="00B628D6"/>
    <w:rsid w:val="00B63CB1"/>
    <w:rsid w:val="00B65710"/>
    <w:rsid w:val="00B662F1"/>
    <w:rsid w:val="00B66F97"/>
    <w:rsid w:val="00B676E4"/>
    <w:rsid w:val="00B72DCF"/>
    <w:rsid w:val="00B735F3"/>
    <w:rsid w:val="00B8065B"/>
    <w:rsid w:val="00B80B7B"/>
    <w:rsid w:val="00B85B86"/>
    <w:rsid w:val="00B90C7D"/>
    <w:rsid w:val="00B92E73"/>
    <w:rsid w:val="00BA56A0"/>
    <w:rsid w:val="00BA7E20"/>
    <w:rsid w:val="00BB582D"/>
    <w:rsid w:val="00BC34C7"/>
    <w:rsid w:val="00BC385A"/>
    <w:rsid w:val="00BC73C7"/>
    <w:rsid w:val="00BC7B6E"/>
    <w:rsid w:val="00BD654B"/>
    <w:rsid w:val="00C00682"/>
    <w:rsid w:val="00C14585"/>
    <w:rsid w:val="00C1781F"/>
    <w:rsid w:val="00C21696"/>
    <w:rsid w:val="00C22A1B"/>
    <w:rsid w:val="00C2307E"/>
    <w:rsid w:val="00C25916"/>
    <w:rsid w:val="00C2705C"/>
    <w:rsid w:val="00C35C1C"/>
    <w:rsid w:val="00C367B7"/>
    <w:rsid w:val="00C36F77"/>
    <w:rsid w:val="00C4276D"/>
    <w:rsid w:val="00C43594"/>
    <w:rsid w:val="00C44CE6"/>
    <w:rsid w:val="00C4573A"/>
    <w:rsid w:val="00C46E3D"/>
    <w:rsid w:val="00C5410C"/>
    <w:rsid w:val="00C54319"/>
    <w:rsid w:val="00C5434D"/>
    <w:rsid w:val="00C55C68"/>
    <w:rsid w:val="00C56CDC"/>
    <w:rsid w:val="00C60590"/>
    <w:rsid w:val="00C609F9"/>
    <w:rsid w:val="00C61647"/>
    <w:rsid w:val="00C66AEF"/>
    <w:rsid w:val="00C7773D"/>
    <w:rsid w:val="00C8395E"/>
    <w:rsid w:val="00C83AEB"/>
    <w:rsid w:val="00C869AE"/>
    <w:rsid w:val="00C879EC"/>
    <w:rsid w:val="00C917A2"/>
    <w:rsid w:val="00C919BF"/>
    <w:rsid w:val="00C94F02"/>
    <w:rsid w:val="00C95C87"/>
    <w:rsid w:val="00CA58AB"/>
    <w:rsid w:val="00CB00FD"/>
    <w:rsid w:val="00CB1DCA"/>
    <w:rsid w:val="00CB748E"/>
    <w:rsid w:val="00CC5CB1"/>
    <w:rsid w:val="00CD69F0"/>
    <w:rsid w:val="00CF04C3"/>
    <w:rsid w:val="00CF357E"/>
    <w:rsid w:val="00CF6040"/>
    <w:rsid w:val="00CF6301"/>
    <w:rsid w:val="00D051C2"/>
    <w:rsid w:val="00D056DC"/>
    <w:rsid w:val="00D11AC7"/>
    <w:rsid w:val="00D2178F"/>
    <w:rsid w:val="00D229BB"/>
    <w:rsid w:val="00D26CAA"/>
    <w:rsid w:val="00D30177"/>
    <w:rsid w:val="00D314C5"/>
    <w:rsid w:val="00D31ABC"/>
    <w:rsid w:val="00D35D9F"/>
    <w:rsid w:val="00D363D7"/>
    <w:rsid w:val="00D403CF"/>
    <w:rsid w:val="00D41A08"/>
    <w:rsid w:val="00D45818"/>
    <w:rsid w:val="00D56F19"/>
    <w:rsid w:val="00D7229A"/>
    <w:rsid w:val="00D72F9C"/>
    <w:rsid w:val="00D7598E"/>
    <w:rsid w:val="00D76AD9"/>
    <w:rsid w:val="00D8152F"/>
    <w:rsid w:val="00D90DE0"/>
    <w:rsid w:val="00DA50A3"/>
    <w:rsid w:val="00DA6141"/>
    <w:rsid w:val="00DC017F"/>
    <w:rsid w:val="00DC02EA"/>
    <w:rsid w:val="00DC0FE7"/>
    <w:rsid w:val="00DC1D2F"/>
    <w:rsid w:val="00DD0CA5"/>
    <w:rsid w:val="00DD3A15"/>
    <w:rsid w:val="00DD77D1"/>
    <w:rsid w:val="00DE6084"/>
    <w:rsid w:val="00DE6E9C"/>
    <w:rsid w:val="00DF3981"/>
    <w:rsid w:val="00DF7FED"/>
    <w:rsid w:val="00E00E98"/>
    <w:rsid w:val="00E01C49"/>
    <w:rsid w:val="00E03220"/>
    <w:rsid w:val="00E039F4"/>
    <w:rsid w:val="00E0497D"/>
    <w:rsid w:val="00E05064"/>
    <w:rsid w:val="00E069FA"/>
    <w:rsid w:val="00E06D6B"/>
    <w:rsid w:val="00E10D13"/>
    <w:rsid w:val="00E16268"/>
    <w:rsid w:val="00E2059B"/>
    <w:rsid w:val="00E248C5"/>
    <w:rsid w:val="00E31A8B"/>
    <w:rsid w:val="00E3792B"/>
    <w:rsid w:val="00E521D8"/>
    <w:rsid w:val="00E56FFC"/>
    <w:rsid w:val="00E57427"/>
    <w:rsid w:val="00E67A25"/>
    <w:rsid w:val="00E80358"/>
    <w:rsid w:val="00E8145C"/>
    <w:rsid w:val="00E85033"/>
    <w:rsid w:val="00E86063"/>
    <w:rsid w:val="00E91C96"/>
    <w:rsid w:val="00E94255"/>
    <w:rsid w:val="00E959DE"/>
    <w:rsid w:val="00E969B3"/>
    <w:rsid w:val="00EA2C86"/>
    <w:rsid w:val="00EA7269"/>
    <w:rsid w:val="00EB3570"/>
    <w:rsid w:val="00EB588A"/>
    <w:rsid w:val="00EC0645"/>
    <w:rsid w:val="00EC1C4F"/>
    <w:rsid w:val="00ED548D"/>
    <w:rsid w:val="00EE24FB"/>
    <w:rsid w:val="00EE7BE9"/>
    <w:rsid w:val="00EF3B3C"/>
    <w:rsid w:val="00EF5745"/>
    <w:rsid w:val="00EF7E97"/>
    <w:rsid w:val="00F0470E"/>
    <w:rsid w:val="00F06BB4"/>
    <w:rsid w:val="00F07797"/>
    <w:rsid w:val="00F10131"/>
    <w:rsid w:val="00F119D5"/>
    <w:rsid w:val="00F12BEC"/>
    <w:rsid w:val="00F15E27"/>
    <w:rsid w:val="00F30EE8"/>
    <w:rsid w:val="00F347BE"/>
    <w:rsid w:val="00F41EDD"/>
    <w:rsid w:val="00F556A4"/>
    <w:rsid w:val="00F62834"/>
    <w:rsid w:val="00F7234F"/>
    <w:rsid w:val="00F74BE9"/>
    <w:rsid w:val="00F805E1"/>
    <w:rsid w:val="00F81D94"/>
    <w:rsid w:val="00F83B15"/>
    <w:rsid w:val="00F85729"/>
    <w:rsid w:val="00F8609A"/>
    <w:rsid w:val="00F86798"/>
    <w:rsid w:val="00F87BDB"/>
    <w:rsid w:val="00F908FD"/>
    <w:rsid w:val="00F9145E"/>
    <w:rsid w:val="00FA0406"/>
    <w:rsid w:val="00FA48C5"/>
    <w:rsid w:val="00FC2A4A"/>
    <w:rsid w:val="00FC5318"/>
    <w:rsid w:val="00FD13C7"/>
    <w:rsid w:val="00FD534C"/>
    <w:rsid w:val="00FD7A0D"/>
    <w:rsid w:val="00FE3E24"/>
    <w:rsid w:val="00FE4762"/>
    <w:rsid w:val="00FF2BEE"/>
    <w:rsid w:val="00FF5943"/>
    <w:rsid w:val="100A8CD3"/>
    <w:rsid w:val="12D75ACB"/>
    <w:rsid w:val="3143F563"/>
    <w:rsid w:val="3D002D81"/>
    <w:rsid w:val="4573BBCD"/>
    <w:rsid w:val="54E58220"/>
    <w:rsid w:val="592F684C"/>
    <w:rsid w:val="6265B974"/>
    <w:rsid w:val="6BBC19F8"/>
    <w:rsid w:val="734953B4"/>
    <w:rsid w:val="7645CE6D"/>
    <w:rsid w:val="775ED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9DB75"/>
  <w15:chartTrackingRefBased/>
  <w15:docId w15:val="{4F7E8D8B-FED1-4DFC-B6F9-BAC102F0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F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F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F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F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F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F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F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F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F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F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F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1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F14"/>
  </w:style>
  <w:style w:type="paragraph" w:styleId="Footer">
    <w:name w:val="footer"/>
    <w:basedOn w:val="Normal"/>
    <w:link w:val="FooterChar"/>
    <w:uiPriority w:val="99"/>
    <w:unhideWhenUsed/>
    <w:rsid w:val="00A91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F14"/>
  </w:style>
  <w:style w:type="character" w:styleId="CommentReference">
    <w:name w:val="annotation reference"/>
    <w:basedOn w:val="DefaultParagraphFont"/>
    <w:uiPriority w:val="99"/>
    <w:semiHidden/>
    <w:unhideWhenUsed/>
    <w:rsid w:val="00DE6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E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6E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E9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451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14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1276C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7C4FC8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0E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0E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0E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eefa.org/resources/ieefa-puerto-rico-prepa-debt-deal-hurts-consumers-dodges-underlying-crisis?utm_source=chatgpt.com" TargetMode="External"/><Relationship Id="rId1" Type="http://schemas.openxmlformats.org/officeDocument/2006/relationships/hyperlink" Target="https://www.energy.gov/scep/low-income-energy-affordability-data-lead-tool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DAC7A06CDFC458585405A3C072B8E" ma:contentTypeVersion="18" ma:contentTypeDescription="Create a new document." ma:contentTypeScope="" ma:versionID="7c6e90a8c4551137289052f2d6d27189">
  <xsd:schema xmlns:xsd="http://www.w3.org/2001/XMLSchema" xmlns:xs="http://www.w3.org/2001/XMLSchema" xmlns:p="http://schemas.microsoft.com/office/2006/metadata/properties" xmlns:ns2="fc5cf466-c179-43c1-bfc1-544eee65ae6b" xmlns:ns3="eb02484f-8d02-4e03-b74f-138c33417dcf" targetNamespace="http://schemas.microsoft.com/office/2006/metadata/properties" ma:root="true" ma:fieldsID="4654959c1099b2fd5fd4dd7915e86f41" ns2:_="" ns3:_="">
    <xsd:import namespace="fc5cf466-c179-43c1-bfc1-544eee65ae6b"/>
    <xsd:import namespace="eb02484f-8d02-4e03-b74f-138c334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cf466-c179-43c1-bfc1-544eee65ae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22d195-8426-4802-a5bf-0168028e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2484f-8d02-4e03-b74f-138c33417dc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2c4152-9ccc-4924-bf84-485311e87ef1}" ma:internalName="TaxCatchAll" ma:showField="CatchAllData" ma:web="eb02484f-8d02-4e03-b74f-138c334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5cf466-c179-43c1-bfc1-544eee65ae6b">
      <Terms xmlns="http://schemas.microsoft.com/office/infopath/2007/PartnerControls"/>
    </lcf76f155ced4ddcb4097134ff3c332f>
    <TaxCatchAll xmlns="eb02484f-8d02-4e03-b74f-138c33417dcf" xsi:nil="true"/>
  </documentManagement>
</p:properties>
</file>

<file path=customXml/itemProps1.xml><?xml version="1.0" encoding="utf-8"?>
<ds:datastoreItem xmlns:ds="http://schemas.openxmlformats.org/officeDocument/2006/customXml" ds:itemID="{5CD6AB1C-9133-4ACE-A87A-6D06359E44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103CF5-4AAA-46CB-9E8E-8122F2B2C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cf466-c179-43c1-bfc1-544eee65ae6b"/>
    <ds:schemaRef ds:uri="eb02484f-8d02-4e03-b74f-138c33417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0CB6D-D115-415C-B090-E4102C314488}">
  <ds:schemaRefs>
    <ds:schemaRef ds:uri="http://schemas.microsoft.com/office/2006/metadata/properties"/>
    <ds:schemaRef ds:uri="http://schemas.microsoft.com/office/infopath/2007/PartnerControls"/>
    <ds:schemaRef ds:uri="fc5cf466-c179-43c1-bfc1-544eee65ae6b"/>
    <ds:schemaRef ds:uri="eb02484f-8d02-4e03-b74f-138c33417dcf"/>
  </ds:schemaRefs>
</ds:datastoreItem>
</file>

<file path=docMetadata/LabelInfo.xml><?xml version="1.0" encoding="utf-8"?>
<clbl:labelList xmlns:clbl="http://schemas.microsoft.com/office/2020/mipLabelMetadata">
  <clbl:label id="{adedb458-e8e3-4c4e-9bed-fa792af66cb6}" enabled="0" method="" siteId="{adedb458-e8e3-4c4e-9bed-fa792af66c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Links>
    <vt:vector size="18" baseType="variant">
      <vt:variant>
        <vt:i4>2949210</vt:i4>
      </vt:variant>
      <vt:variant>
        <vt:i4>0</vt:i4>
      </vt:variant>
      <vt:variant>
        <vt:i4>0</vt:i4>
      </vt:variant>
      <vt:variant>
        <vt:i4>5</vt:i4>
      </vt:variant>
      <vt:variant>
        <vt:lpwstr>mailto:comentarios@jrsp.pr.gov</vt:lpwstr>
      </vt:variant>
      <vt:variant>
        <vt:lpwstr/>
      </vt:variant>
      <vt:variant>
        <vt:i4>107</vt:i4>
      </vt:variant>
      <vt:variant>
        <vt:i4>3</vt:i4>
      </vt:variant>
      <vt:variant>
        <vt:i4>0</vt:i4>
      </vt:variant>
      <vt:variant>
        <vt:i4>5</vt:i4>
      </vt:variant>
      <vt:variant>
        <vt:lpwstr>https://ieefa.org/resources/ieefa-puerto-rico-prepa-debt-deal-hurts-consumers-dodges-underlying-crisis?utm_source=chatgpt.com</vt:lpwstr>
      </vt:variant>
      <vt:variant>
        <vt:lpwstr/>
      </vt:variant>
      <vt:variant>
        <vt:i4>1900602</vt:i4>
      </vt:variant>
      <vt:variant>
        <vt:i4>0</vt:i4>
      </vt:variant>
      <vt:variant>
        <vt:i4>0</vt:i4>
      </vt:variant>
      <vt:variant>
        <vt:i4>5</vt:i4>
      </vt:variant>
      <vt:variant>
        <vt:lpwstr>https://www.energy.gov/scep/low-income-energy-affordability-data-lead-tool?utm_source=chatgpt.com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Correa</dc:creator>
  <cp:keywords/>
  <dc:description/>
  <cp:lastModifiedBy>Lorena Velez</cp:lastModifiedBy>
  <cp:revision>246</cp:revision>
  <dcterms:created xsi:type="dcterms:W3CDTF">2026-01-08T10:13:00Z</dcterms:created>
  <dcterms:modified xsi:type="dcterms:W3CDTF">2026-01-21T14:19:00Z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0x0101003FDDAC7A06CDFC458585405A3C072B8E</vt:lpwstr>
  </property>
  <property fmtid="{D5CDD505-2E9C-101B-9397-08002B2CF9AE}" pid="3" name="MediaServiceImageTags">
    <vt:lpwstr/>
  </property>
</Properties>
</file>